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04769" w14:textId="77777777" w:rsidR="005A7418" w:rsidRPr="005564E7" w:rsidRDefault="00185700">
      <w:pPr>
        <w:spacing w:before="100" w:beforeAutospacing="1" w:after="100" w:afterAutospacing="1" w:line="336" w:lineRule="atLeast"/>
        <w:jc w:val="center"/>
        <w:outlineLvl w:val="2"/>
        <w:divId w:val="52894009"/>
        <w:rPr>
          <w:rFonts w:ascii="Verdana" w:eastAsia="Times New Roman" w:hAnsi="Verdana"/>
          <w:b/>
          <w:bCs/>
          <w:color w:val="9F2943"/>
          <w:lang w:val="es-ES"/>
        </w:rPr>
      </w:pPr>
      <w:r w:rsidRPr="005564E7">
        <w:rPr>
          <w:rFonts w:ascii="Verdana" w:eastAsia="Times New Roman" w:hAnsi="Verdana"/>
          <w:b/>
          <w:bCs/>
          <w:color w:val="9F2943"/>
          <w:lang w:val="es-ES"/>
        </w:rPr>
        <w:t xml:space="preserve">Consulta Vinculante V2058-16, de 12 de mayo de 2016 de la </w:t>
      </w:r>
      <w:proofErr w:type="spellStart"/>
      <w:r w:rsidRPr="005564E7">
        <w:rPr>
          <w:rFonts w:ascii="Verdana" w:eastAsia="Times New Roman" w:hAnsi="Verdana"/>
          <w:b/>
          <w:bCs/>
          <w:color w:val="9F2943"/>
          <w:lang w:val="es-ES"/>
        </w:rPr>
        <w:t>Subdireccion</w:t>
      </w:r>
      <w:proofErr w:type="spellEnd"/>
      <w:r w:rsidRPr="005564E7">
        <w:rPr>
          <w:rFonts w:ascii="Verdana" w:eastAsia="Times New Roman" w:hAnsi="Verdana"/>
          <w:b/>
          <w:bCs/>
          <w:color w:val="9F2943"/>
          <w:lang w:val="es-ES"/>
        </w:rPr>
        <w:t xml:space="preserve"> General de Impuestos sobre el Consumo</w:t>
      </w:r>
    </w:p>
    <w:p w14:paraId="3CE056F2" w14:textId="77777777" w:rsidR="005A7418" w:rsidRDefault="00185700">
      <w:pPr>
        <w:pStyle w:val="NormalWeb"/>
        <w:spacing w:line="336" w:lineRule="atLeast"/>
        <w:jc w:val="right"/>
        <w:divId w:val="52894009"/>
        <w:rPr>
          <w:rFonts w:ascii="Verdana" w:hAnsi="Verdana"/>
          <w:vanish/>
          <w:sz w:val="21"/>
          <w:szCs w:val="21"/>
        </w:rPr>
      </w:pPr>
      <w:r>
        <w:rPr>
          <w:rFonts w:ascii="Verdana" w:hAnsi="Verdana"/>
          <w:vanish/>
          <w:sz w:val="21"/>
          <w:szCs w:val="21"/>
        </w:rPr>
        <w:t>Ref. CISS 2230/2016</w:t>
      </w:r>
    </w:p>
    <w:p w14:paraId="0574468D" w14:textId="77777777" w:rsidR="005A7418" w:rsidRDefault="00185700">
      <w:pPr>
        <w:spacing w:line="300" w:lineRule="atLeast"/>
        <w:jc w:val="both"/>
        <w:divId w:val="510414975"/>
        <w:rPr>
          <w:rFonts w:ascii="Verdana" w:eastAsia="Times New Roman" w:hAnsi="Verdana"/>
          <w:vanish/>
          <w:sz w:val="21"/>
          <w:szCs w:val="21"/>
        </w:rPr>
      </w:pPr>
      <w:r>
        <w:rPr>
          <w:rFonts w:ascii="Verdana" w:eastAsia="Times New Roman" w:hAnsi="Verdana"/>
          <w:vanish/>
          <w:sz w:val="21"/>
          <w:szCs w:val="21"/>
        </w:rPr>
        <w:t>Cabecera</w:t>
      </w:r>
    </w:p>
    <w:p w14:paraId="58C35162" w14:textId="77777777" w:rsidR="005A7418" w:rsidRPr="005564E7" w:rsidRDefault="00185700">
      <w:pPr>
        <w:spacing w:line="300" w:lineRule="atLeast"/>
        <w:ind w:left="720"/>
        <w:jc w:val="both"/>
        <w:divId w:val="510414975"/>
        <w:rPr>
          <w:rFonts w:ascii="Verdana" w:hAnsi="Verdana"/>
          <w:sz w:val="21"/>
          <w:szCs w:val="21"/>
          <w:lang w:val="es-ES"/>
        </w:rPr>
      </w:pPr>
      <w:r w:rsidRPr="005564E7">
        <w:rPr>
          <w:rFonts w:ascii="Verdana" w:hAnsi="Verdana"/>
          <w:sz w:val="21"/>
          <w:szCs w:val="21"/>
          <w:lang w:val="es-ES"/>
        </w:rPr>
        <w:t xml:space="preserve">IMPUESTO SOBRE EL VALOR AÑADIDO. Propietario de diversas oficinas en una comunidad de propietarios que destina a su arrendamiento. Deducción del IVA soportado por gastos facturados a </w:t>
      </w:r>
      <w:proofErr w:type="gramStart"/>
      <w:r w:rsidRPr="005564E7">
        <w:rPr>
          <w:rFonts w:ascii="Verdana" w:hAnsi="Verdana"/>
          <w:sz w:val="21"/>
          <w:szCs w:val="21"/>
          <w:lang w:val="es-ES"/>
        </w:rPr>
        <w:t>la comunidades</w:t>
      </w:r>
      <w:proofErr w:type="gramEnd"/>
      <w:r w:rsidRPr="005564E7">
        <w:rPr>
          <w:rFonts w:ascii="Verdana" w:hAnsi="Verdana"/>
          <w:sz w:val="21"/>
          <w:szCs w:val="21"/>
          <w:lang w:val="es-ES"/>
        </w:rPr>
        <w:t xml:space="preserve"> de propietarios. Requisitos exigidos para la deducción por el comunero. Las facturas que documentan las operaciones de entregas de bienes y prestaciones de servicios cuya destinataria sea la comunidad de propietarios deberá consignar, en forma distinta y separada, la porción de base imponible y cuota repercutida a cada uno de los citados propietarios</w:t>
      </w:r>
      <w:r w:rsidRPr="0091031D">
        <w:rPr>
          <w:rFonts w:ascii="Verdana" w:hAnsi="Verdana"/>
          <w:sz w:val="21"/>
          <w:szCs w:val="21"/>
          <w:highlight w:val="cyan"/>
          <w:lang w:val="es-ES"/>
        </w:rPr>
        <w:t xml:space="preserve">. También, los empresarios o profesionales miembros de una comunidad de propietarios, podrán deducir las cuotas soportadas por las adquisiciones de bienes y servicios efectuadas a través de la citada </w:t>
      </w:r>
      <w:proofErr w:type="gramStart"/>
      <w:r w:rsidRPr="0091031D">
        <w:rPr>
          <w:rFonts w:ascii="Verdana" w:hAnsi="Verdana"/>
          <w:sz w:val="21"/>
          <w:szCs w:val="21"/>
          <w:highlight w:val="cyan"/>
          <w:lang w:val="es-ES"/>
        </w:rPr>
        <w:t>comunidad ,</w:t>
      </w:r>
      <w:proofErr w:type="gramEnd"/>
      <w:r w:rsidRPr="0091031D">
        <w:rPr>
          <w:rFonts w:ascii="Verdana" w:hAnsi="Verdana"/>
          <w:sz w:val="21"/>
          <w:szCs w:val="21"/>
          <w:highlight w:val="cyan"/>
          <w:lang w:val="es-ES"/>
        </w:rPr>
        <w:t xml:space="preserve"> siempre que estén en posesión de un duplicado de la factura expedida a nombre de aquella, aunque en la misma no consten los porcentajes de base imponible y cuota tributaria que les correspondan en función de su participación en la comunidad. Dichos porcentajes podrán acreditarse mediante otro tipo de documentos (escritura de división horizontal y obra nueva, estatutos de la comunidad, </w:t>
      </w:r>
      <w:proofErr w:type="spellStart"/>
      <w:r w:rsidRPr="0091031D">
        <w:rPr>
          <w:rFonts w:ascii="Verdana" w:hAnsi="Verdana"/>
          <w:sz w:val="21"/>
          <w:szCs w:val="21"/>
          <w:highlight w:val="cyan"/>
          <w:lang w:val="es-ES"/>
        </w:rPr>
        <w:t>etc</w:t>
      </w:r>
      <w:proofErr w:type="spellEnd"/>
    </w:p>
    <w:p w14:paraId="5816055A" w14:textId="77777777" w:rsidR="005A7418" w:rsidRPr="0091031D" w:rsidRDefault="00185700">
      <w:pPr>
        <w:spacing w:line="300" w:lineRule="atLeast"/>
        <w:jc w:val="both"/>
        <w:divId w:val="697000582"/>
        <w:rPr>
          <w:rFonts w:ascii="Verdana" w:eastAsia="Times New Roman" w:hAnsi="Verdana"/>
          <w:sz w:val="21"/>
          <w:szCs w:val="21"/>
          <w:highlight w:val="cyan"/>
          <w:lang w:val="es-ES"/>
        </w:rPr>
      </w:pPr>
      <w:bookmarkStart w:id="0" w:name="I2"/>
      <w:bookmarkEnd w:id="0"/>
      <w:r w:rsidRPr="0091031D">
        <w:rPr>
          <w:rStyle w:val="nfasis"/>
          <w:rFonts w:ascii="Verdana" w:eastAsia="Times New Roman" w:hAnsi="Verdana"/>
          <w:sz w:val="21"/>
          <w:szCs w:val="21"/>
          <w:highlight w:val="cyan"/>
          <w:lang w:val="es-ES"/>
        </w:rPr>
        <w:t>DESCRIPCIÓN</w:t>
      </w:r>
    </w:p>
    <w:p w14:paraId="5FD824FC" w14:textId="77777777" w:rsidR="005A7418" w:rsidRPr="0091031D" w:rsidRDefault="00185700">
      <w:pPr>
        <w:spacing w:before="120" w:after="120" w:line="300" w:lineRule="atLeast"/>
        <w:jc w:val="both"/>
        <w:divId w:val="1537154389"/>
        <w:rPr>
          <w:rFonts w:ascii="Verdana" w:hAnsi="Verdana"/>
          <w:sz w:val="21"/>
          <w:szCs w:val="21"/>
          <w:highlight w:val="cyan"/>
          <w:lang w:val="es-ES"/>
        </w:rPr>
      </w:pPr>
      <w:r w:rsidRPr="0091031D">
        <w:rPr>
          <w:rFonts w:ascii="Verdana" w:hAnsi="Verdana"/>
          <w:sz w:val="21"/>
          <w:szCs w:val="21"/>
          <w:highlight w:val="cyan"/>
          <w:lang w:val="es-ES"/>
        </w:rPr>
        <w:t xml:space="preserve">El consultante es propietario de diversas oficinas en una comunidad de propietarios que destina a su arrendamiento. </w:t>
      </w:r>
    </w:p>
    <w:p w14:paraId="020FC8D8" w14:textId="77777777" w:rsidR="005A7418" w:rsidRPr="0091031D" w:rsidRDefault="00185700">
      <w:pPr>
        <w:pStyle w:val="ctit1"/>
        <w:spacing w:line="300" w:lineRule="atLeast"/>
        <w:divId w:val="1552959139"/>
        <w:rPr>
          <w:rFonts w:ascii="Verdana" w:hAnsi="Verdana"/>
          <w:i/>
          <w:iCs/>
          <w:sz w:val="23"/>
          <w:szCs w:val="23"/>
          <w:highlight w:val="cyan"/>
          <w:lang w:val="es-ES"/>
        </w:rPr>
      </w:pPr>
      <w:bookmarkStart w:id="1" w:name="I3"/>
      <w:bookmarkEnd w:id="1"/>
      <w:r w:rsidRPr="0091031D">
        <w:rPr>
          <w:rFonts w:ascii="Verdana" w:hAnsi="Verdana"/>
          <w:i/>
          <w:iCs/>
          <w:sz w:val="23"/>
          <w:szCs w:val="23"/>
          <w:highlight w:val="cyan"/>
          <w:lang w:val="es-ES"/>
        </w:rPr>
        <w:t>CUESTIÓN</w:t>
      </w:r>
    </w:p>
    <w:p w14:paraId="3298AC29" w14:textId="77777777" w:rsidR="005A7418" w:rsidRPr="0091031D" w:rsidRDefault="00185700">
      <w:pPr>
        <w:spacing w:before="120" w:after="120" w:line="300" w:lineRule="atLeast"/>
        <w:jc w:val="both"/>
        <w:divId w:val="1552959139"/>
        <w:rPr>
          <w:rFonts w:ascii="Verdana" w:hAnsi="Verdana"/>
          <w:i/>
          <w:iCs/>
          <w:sz w:val="21"/>
          <w:szCs w:val="21"/>
          <w:highlight w:val="cyan"/>
          <w:lang w:val="es-ES"/>
        </w:rPr>
      </w:pPr>
      <w:r w:rsidRPr="0091031D">
        <w:rPr>
          <w:rFonts w:ascii="Verdana" w:hAnsi="Verdana"/>
          <w:i/>
          <w:iCs/>
          <w:sz w:val="21"/>
          <w:szCs w:val="21"/>
          <w:highlight w:val="cyan"/>
          <w:lang w:val="es-ES"/>
        </w:rPr>
        <w:t>1.- Se cuestiona la posibilidad de deducción por el consultante de las cuotas soportadas por la referida comunidad de propietarios.</w:t>
      </w:r>
    </w:p>
    <w:p w14:paraId="26116263" w14:textId="77777777" w:rsidR="005A7418" w:rsidRPr="0091031D" w:rsidRDefault="00185700">
      <w:pPr>
        <w:spacing w:before="120" w:after="120" w:line="300" w:lineRule="atLeast"/>
        <w:jc w:val="both"/>
        <w:divId w:val="1552959139"/>
        <w:rPr>
          <w:rFonts w:ascii="Verdana" w:hAnsi="Verdana"/>
          <w:i/>
          <w:iCs/>
          <w:sz w:val="21"/>
          <w:szCs w:val="21"/>
          <w:highlight w:val="cyan"/>
          <w:lang w:val="es-ES"/>
        </w:rPr>
      </w:pPr>
      <w:r w:rsidRPr="0091031D">
        <w:rPr>
          <w:rFonts w:ascii="Verdana" w:hAnsi="Verdana"/>
          <w:i/>
          <w:iCs/>
          <w:sz w:val="21"/>
          <w:szCs w:val="21"/>
          <w:highlight w:val="cyan"/>
          <w:lang w:val="es-ES"/>
        </w:rPr>
        <w:t>2.- Requisitos que debe reunir la copia de la factura girada al consultante como documento formal suficiente para practicar, en su caso, la deducción.</w:t>
      </w:r>
    </w:p>
    <w:p w14:paraId="03F83102" w14:textId="77777777" w:rsidR="005A7418" w:rsidRPr="005564E7" w:rsidRDefault="00185700">
      <w:pPr>
        <w:pStyle w:val="ctit1"/>
        <w:spacing w:line="300" w:lineRule="atLeast"/>
        <w:divId w:val="1873882178"/>
        <w:rPr>
          <w:rFonts w:ascii="Verdana" w:hAnsi="Verdana"/>
          <w:sz w:val="23"/>
          <w:szCs w:val="23"/>
          <w:lang w:val="es-ES"/>
        </w:rPr>
      </w:pPr>
      <w:bookmarkStart w:id="2" w:name="I4"/>
      <w:bookmarkEnd w:id="2"/>
      <w:r w:rsidRPr="0091031D">
        <w:rPr>
          <w:rFonts w:ascii="Verdana" w:hAnsi="Verdana"/>
          <w:sz w:val="23"/>
          <w:szCs w:val="23"/>
          <w:highlight w:val="cyan"/>
          <w:lang w:val="es-ES"/>
        </w:rPr>
        <w:t>CONTESTACIÓN</w:t>
      </w:r>
    </w:p>
    <w:p w14:paraId="637CC050"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 xml:space="preserve">1.- El </w:t>
      </w:r>
      <w:hyperlink r:id="rId6" w:history="1">
        <w:r w:rsidRPr="005564E7">
          <w:rPr>
            <w:rFonts w:ascii="Verdana" w:hAnsi="Verdana"/>
            <w:color w:val="0033FF"/>
            <w:sz w:val="21"/>
            <w:szCs w:val="21"/>
            <w:u w:val="single"/>
            <w:lang w:val="es-ES"/>
          </w:rPr>
          <w:t>artículo 4 de la Ley 37/1992, de 28 de diciembre</w:t>
        </w:r>
      </w:hyperlink>
      <w:r w:rsidRPr="005564E7">
        <w:rPr>
          <w:rFonts w:ascii="Verdana" w:hAnsi="Verdana"/>
          <w:sz w:val="21"/>
          <w:szCs w:val="21"/>
          <w:lang w:val="es-ES"/>
        </w:rPr>
        <w:t>, del Impuesto sobre el Valor Añadido (BOE de 29 de diciembre), establece que "estarán sujetas al Impuesto las entregas de bienes y prestaciones de servicios realizadas en el ámbito espacial del Impuesto por empresarios o profesionales a título oneroso, con carácter habitual u ocasional, en el desarrollo de su actividad empresarial o profesional, incluso si se efectúan en favor de los propios socios, asociados, miembros o partícipes de las entidades que las realicen.".</w:t>
      </w:r>
    </w:p>
    <w:p w14:paraId="43EAABCE"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Por su parte, el apartado uno y dos del artículo 5 de la misma Ley dispone que "Uno. A los efectos de lo dispuesto en esta Ley, se reputarán empresarios o profesionales:</w:t>
      </w:r>
    </w:p>
    <w:p w14:paraId="1CCDE983"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a) Las personas o entidades que realicen las actividades empresariales o profesionales definidas en el apartado siguiente de este artículo.</w:t>
      </w:r>
    </w:p>
    <w:p w14:paraId="2283FABE"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w:t>
      </w:r>
    </w:p>
    <w:p w14:paraId="3C370EAF"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c) Quienes realicen una o varias entregas de bienes o prestaciones de servicios que supongan la explotación de un bien corporal o incorporal con el fin de obtener ingresos continuados en el tiempo.</w:t>
      </w:r>
    </w:p>
    <w:p w14:paraId="273B2A3D"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lastRenderedPageBreak/>
        <w:t>En particular, tendrán dicha consideración los arrendadores de bienes.</w:t>
      </w:r>
    </w:p>
    <w:p w14:paraId="23D037C2"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w:t>
      </w:r>
    </w:p>
    <w:p w14:paraId="05F7DFE7"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Dos. Son actividades empresariales o profesionales las que impliquen la ordenación por cuenta propia de factores de producción materiales y humanos o de uno de ellos, con la finalidad de intervenir en la producción o distribución de bienes o servicios.</w:t>
      </w:r>
    </w:p>
    <w:p w14:paraId="11554CE7"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En particular, tienen esta consideración las actividades extractivas, de fabricación, comercio y prestación de servicios, incluidas las de artesanía, agrícolas, forestales, ganaderas, pesqueras, de construcción, mineras y el ejercicio de profesiones liberales y artísticas.</w:t>
      </w:r>
    </w:p>
    <w:p w14:paraId="1074054D"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w:t>
      </w:r>
    </w:p>
    <w:p w14:paraId="4DFC041C"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 xml:space="preserve">Finalmente, el </w:t>
      </w:r>
      <w:hyperlink r:id="rId7" w:history="1">
        <w:r w:rsidRPr="005564E7">
          <w:rPr>
            <w:rFonts w:ascii="Verdana" w:hAnsi="Verdana"/>
            <w:color w:val="0033FF"/>
            <w:sz w:val="21"/>
            <w:szCs w:val="21"/>
            <w:u w:val="single"/>
            <w:lang w:val="es-ES"/>
          </w:rPr>
          <w:t>artículo 84, apartado tres, de la Ley 37/1992</w:t>
        </w:r>
      </w:hyperlink>
      <w:r w:rsidRPr="005564E7">
        <w:rPr>
          <w:rFonts w:ascii="Verdana" w:hAnsi="Verdana"/>
          <w:sz w:val="21"/>
          <w:szCs w:val="21"/>
          <w:lang w:val="es-ES"/>
        </w:rPr>
        <w:t xml:space="preserve"> preceptúa que "tienen la consideración de sujetos pasivos las herencias yacentes, comunidades de bienes y demás entidades que, careciendo de personalidad jurídica, constituyan una unidad económica o un patrimonio separado susceptible de imposición, cuando realicen operaciones sujetas al Impuesto.".</w:t>
      </w:r>
    </w:p>
    <w:p w14:paraId="5836754C" w14:textId="77777777" w:rsidR="005A7418" w:rsidRPr="0091031D" w:rsidRDefault="00185700">
      <w:pPr>
        <w:spacing w:before="120" w:after="120" w:line="300" w:lineRule="atLeast"/>
        <w:jc w:val="both"/>
        <w:divId w:val="1873882178"/>
        <w:rPr>
          <w:rFonts w:ascii="Verdana" w:hAnsi="Verdana"/>
          <w:sz w:val="21"/>
          <w:szCs w:val="21"/>
          <w:highlight w:val="cyan"/>
          <w:lang w:val="es-ES"/>
        </w:rPr>
      </w:pPr>
      <w:r w:rsidRPr="0091031D">
        <w:rPr>
          <w:rFonts w:ascii="Verdana" w:hAnsi="Verdana"/>
          <w:sz w:val="21"/>
          <w:szCs w:val="21"/>
          <w:highlight w:val="cyan"/>
          <w:lang w:val="es-ES"/>
        </w:rPr>
        <w:t>2.- Las comunidades de propietarios, con carácter general, no reúnen los requisitos establecidos por la normativa del Impuesto sobre el Valor Añadido para atribuirles la condición de empresarios o profesionales. Es criterio reiterado de este Centro Directivo que la actividad que realizan, que se concreta en la adquisición de los bienes y servicios necesarios para el mantenimiento, utilización, funcionamiento, etc., de los bienes, elementos, pertenencias y servicios comunes, y en la distribución de los gastos efectuados por tal concepto entre los miembros de la misma, no constituye una actividad de carácter empresarial o profesional a efectos del Impuesto sobre el Valor Añadido.</w:t>
      </w:r>
    </w:p>
    <w:p w14:paraId="3C3EB741" w14:textId="77777777" w:rsidR="005A7418" w:rsidRPr="0091031D" w:rsidRDefault="00185700">
      <w:pPr>
        <w:spacing w:before="120" w:after="120" w:line="300" w:lineRule="atLeast"/>
        <w:jc w:val="both"/>
        <w:divId w:val="1873882178"/>
        <w:rPr>
          <w:rFonts w:ascii="Verdana" w:hAnsi="Verdana"/>
          <w:sz w:val="21"/>
          <w:szCs w:val="21"/>
          <w:highlight w:val="cyan"/>
          <w:lang w:val="es-ES"/>
        </w:rPr>
      </w:pPr>
      <w:r w:rsidRPr="0091031D">
        <w:rPr>
          <w:rFonts w:ascii="Verdana" w:hAnsi="Verdana"/>
          <w:sz w:val="21"/>
          <w:szCs w:val="21"/>
          <w:highlight w:val="cyan"/>
          <w:lang w:val="es-ES"/>
        </w:rPr>
        <w:t>Dichas comunidades tienen, por tanto, la condición de consumidores finales a efectos del Impuesto sobre el Valor Añadido, no pudiendo repercutir dicho Impuesto sobre los comuneros con ocasión del cobro de las derramas que efectúan a los mismos, ni deducir las cuotas del Impuesto soportadas en la adquisición de bienes o servicios.</w:t>
      </w:r>
    </w:p>
    <w:p w14:paraId="4D091FDD" w14:textId="77777777" w:rsidR="005A7418" w:rsidRPr="005564E7" w:rsidRDefault="00185700">
      <w:pPr>
        <w:spacing w:before="120" w:after="120" w:line="300" w:lineRule="atLeast"/>
        <w:jc w:val="both"/>
        <w:divId w:val="1873882178"/>
        <w:rPr>
          <w:rFonts w:ascii="Verdana" w:hAnsi="Verdana"/>
          <w:sz w:val="21"/>
          <w:szCs w:val="21"/>
          <w:lang w:val="es-ES"/>
        </w:rPr>
      </w:pPr>
      <w:r w:rsidRPr="0091031D">
        <w:rPr>
          <w:rFonts w:ascii="Verdana" w:hAnsi="Verdana"/>
          <w:sz w:val="21"/>
          <w:szCs w:val="21"/>
          <w:highlight w:val="cyan"/>
          <w:lang w:val="es-ES"/>
        </w:rPr>
        <w:t>Sin embargo, este criterio general no obsta para que dichas comunidades de propietarios puedan efectivamente desarrollar actividades empresariales a título oneroso adquiriendo, por ello, la condición de sujetos pasivos del Impuesto.</w:t>
      </w:r>
    </w:p>
    <w:p w14:paraId="721846A9"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De la descripción de hechos contenida en el escrito de consulta no puede inferirse que la comunidad de propietarios a la que pertenece el consultante desarrolle algún tipo de actividad empresarial por lo que, a falta de otra prueba que indique lo contario, dicha comunidad no tendría la condición de sujeto pasivo a efectos del Impuesto sobre el Valor Añadido.</w:t>
      </w:r>
    </w:p>
    <w:p w14:paraId="285BB862"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 xml:space="preserve">3.- Por lo que se refiere a la deducibilidad de las cuotas soportadas por gastos comunes que no se correspondan con la actividad económica llevada a cabo por la comunidad de propietarios, el </w:t>
      </w:r>
      <w:hyperlink r:id="rId8" w:history="1">
        <w:r w:rsidRPr="005564E7">
          <w:rPr>
            <w:rFonts w:ascii="Verdana" w:hAnsi="Verdana"/>
            <w:color w:val="0033FF"/>
            <w:sz w:val="21"/>
            <w:szCs w:val="21"/>
            <w:u w:val="single"/>
            <w:lang w:val="es-ES"/>
          </w:rPr>
          <w:t>artículo 92, apartado uno, de la Ley 37/1992</w:t>
        </w:r>
      </w:hyperlink>
      <w:r w:rsidRPr="005564E7">
        <w:rPr>
          <w:rFonts w:ascii="Verdana" w:hAnsi="Verdana"/>
          <w:sz w:val="21"/>
          <w:szCs w:val="21"/>
          <w:lang w:val="es-ES"/>
        </w:rPr>
        <w:t xml:space="preserve"> dispone que "los sujetos pasivos podrán deducir de las cuotas del Impuesto sobre el Valor Añadido devengadas por las operaciones gravadas que realicen en el interior del país las que, devengadas en el mismo territorio, hayan soportado por repercusión directa o satisfecho por las siguientes operaciones:</w:t>
      </w:r>
    </w:p>
    <w:p w14:paraId="61BD4C29" w14:textId="77777777" w:rsidR="005A7418" w:rsidRPr="0091031D" w:rsidRDefault="00185700">
      <w:pPr>
        <w:spacing w:before="120" w:after="120" w:line="300" w:lineRule="atLeast"/>
        <w:jc w:val="both"/>
        <w:divId w:val="1873882178"/>
        <w:rPr>
          <w:rFonts w:ascii="Verdana" w:hAnsi="Verdana"/>
          <w:sz w:val="21"/>
          <w:szCs w:val="21"/>
          <w:lang w:val="es-ES"/>
        </w:rPr>
      </w:pPr>
      <w:r w:rsidRPr="0091031D">
        <w:rPr>
          <w:rFonts w:ascii="Verdana" w:hAnsi="Verdana"/>
          <w:sz w:val="21"/>
          <w:szCs w:val="21"/>
          <w:lang w:val="es-ES"/>
        </w:rPr>
        <w:t>1º. Las entregas de bienes y prestaciones de servicios efectuadas por otro sujeto pasivo del Impuesto.</w:t>
      </w:r>
    </w:p>
    <w:p w14:paraId="361FA274" w14:textId="77777777" w:rsidR="005A7418" w:rsidRPr="0091031D" w:rsidRDefault="00185700">
      <w:pPr>
        <w:spacing w:before="120" w:after="120" w:line="300" w:lineRule="atLeast"/>
        <w:jc w:val="both"/>
        <w:divId w:val="1873882178"/>
        <w:rPr>
          <w:rFonts w:ascii="Verdana" w:hAnsi="Verdana"/>
          <w:sz w:val="21"/>
          <w:szCs w:val="21"/>
          <w:lang w:val="es-ES"/>
        </w:rPr>
      </w:pPr>
      <w:r w:rsidRPr="0091031D">
        <w:rPr>
          <w:rFonts w:ascii="Verdana" w:hAnsi="Verdana"/>
          <w:sz w:val="21"/>
          <w:szCs w:val="21"/>
          <w:lang w:val="es-ES"/>
        </w:rPr>
        <w:t>2º. Las importaciones de bienes.</w:t>
      </w:r>
    </w:p>
    <w:p w14:paraId="76A802A5" w14:textId="77777777" w:rsidR="005A7418" w:rsidRPr="0091031D" w:rsidRDefault="00185700">
      <w:pPr>
        <w:spacing w:before="120" w:after="120" w:line="300" w:lineRule="atLeast"/>
        <w:jc w:val="both"/>
        <w:divId w:val="1873882178"/>
        <w:rPr>
          <w:rFonts w:ascii="Verdana" w:hAnsi="Verdana"/>
          <w:sz w:val="21"/>
          <w:szCs w:val="21"/>
          <w:lang w:val="es-ES"/>
        </w:rPr>
      </w:pPr>
      <w:r w:rsidRPr="0091031D">
        <w:rPr>
          <w:rFonts w:ascii="Verdana" w:hAnsi="Verdana"/>
          <w:sz w:val="21"/>
          <w:szCs w:val="21"/>
          <w:lang w:val="es-ES"/>
        </w:rPr>
        <w:lastRenderedPageBreak/>
        <w:t>3º. Las entregas de bienes y prestaciones de servicios comprendidas en los artículos 9, número 1º, letras c) y d), 84, apartado uno, número 2º, y 140 quinque, todos ellos de esta Ley.</w:t>
      </w:r>
    </w:p>
    <w:p w14:paraId="267A7139" w14:textId="77777777" w:rsidR="005A7418" w:rsidRPr="0091031D" w:rsidRDefault="00185700">
      <w:pPr>
        <w:spacing w:before="120" w:after="120" w:line="300" w:lineRule="atLeast"/>
        <w:jc w:val="both"/>
        <w:divId w:val="1873882178"/>
        <w:rPr>
          <w:rFonts w:ascii="Verdana" w:hAnsi="Verdana"/>
          <w:sz w:val="21"/>
          <w:szCs w:val="21"/>
          <w:lang w:val="es-ES"/>
        </w:rPr>
      </w:pPr>
      <w:r w:rsidRPr="0091031D">
        <w:rPr>
          <w:rFonts w:ascii="Verdana" w:hAnsi="Verdana"/>
          <w:sz w:val="21"/>
          <w:szCs w:val="21"/>
          <w:lang w:val="es-ES"/>
        </w:rPr>
        <w:t xml:space="preserve">4º. Las adquisiciones intracomunitarias de bienes definidas en los artículos 13, número 1º, y 16 de esta Ley.". </w:t>
      </w:r>
    </w:p>
    <w:p w14:paraId="42566628" w14:textId="77777777" w:rsidR="005A7418" w:rsidRPr="0091031D" w:rsidRDefault="00185700">
      <w:pPr>
        <w:spacing w:before="120" w:after="120" w:line="300" w:lineRule="atLeast"/>
        <w:jc w:val="both"/>
        <w:divId w:val="1873882178"/>
        <w:rPr>
          <w:rFonts w:ascii="Verdana" w:hAnsi="Verdana"/>
          <w:sz w:val="21"/>
          <w:szCs w:val="21"/>
          <w:highlight w:val="cyan"/>
          <w:lang w:val="es-ES"/>
        </w:rPr>
      </w:pPr>
      <w:r w:rsidRPr="0091031D">
        <w:rPr>
          <w:rFonts w:ascii="Verdana" w:hAnsi="Verdana"/>
          <w:sz w:val="21"/>
          <w:szCs w:val="21"/>
          <w:highlight w:val="cyan"/>
          <w:lang w:val="es-ES"/>
        </w:rPr>
        <w:t>En consecuencia, en aplicación de lo dispuesto en el artículo 92 de la citada Ley, los empresarios o profesionales, sujetos pasivos del Impuesto sobre el Valor Añadido, no podrán deducir las cuotas que no hayan soportado por repercusión directa.</w:t>
      </w:r>
    </w:p>
    <w:p w14:paraId="0799ED31" w14:textId="77777777" w:rsidR="005A7418" w:rsidRPr="005564E7" w:rsidRDefault="00185700">
      <w:pPr>
        <w:spacing w:before="120" w:after="120" w:line="300" w:lineRule="atLeast"/>
        <w:jc w:val="both"/>
        <w:divId w:val="1873882178"/>
        <w:rPr>
          <w:rFonts w:ascii="Verdana" w:hAnsi="Verdana"/>
          <w:sz w:val="21"/>
          <w:szCs w:val="21"/>
          <w:lang w:val="es-ES"/>
        </w:rPr>
      </w:pPr>
      <w:r w:rsidRPr="0091031D">
        <w:rPr>
          <w:rFonts w:ascii="Verdana" w:hAnsi="Verdana"/>
          <w:sz w:val="21"/>
          <w:szCs w:val="21"/>
          <w:highlight w:val="cyan"/>
          <w:lang w:val="es-ES"/>
        </w:rPr>
        <w:t>De acuerdo con lo anterior, los empresarios o profesionales que pertenezcan a una comunidad de propietarios no podrán, en principio, deducir las cuotas del Impuesto sobre el Valor Añadido que hubiesen sido soportadas por la comunidad. La razón es que dichas cuotas han sido repercutidas directamente a la comunidad de propietarios, no a los comuneros. Es decir, los comuneros no soportan ninguna cuota por repercusión directa.</w:t>
      </w:r>
      <w:r w:rsidRPr="005564E7">
        <w:rPr>
          <w:rFonts w:ascii="Verdana" w:hAnsi="Verdana"/>
          <w:sz w:val="21"/>
          <w:szCs w:val="21"/>
          <w:lang w:val="es-ES"/>
        </w:rPr>
        <w:t xml:space="preserve"> </w:t>
      </w:r>
    </w:p>
    <w:p w14:paraId="372D306A"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 xml:space="preserve">4.- No obstante lo anterior, la sentencia del </w:t>
      </w:r>
      <w:hyperlink r:id="rId9" w:history="1">
        <w:r w:rsidRPr="005564E7">
          <w:rPr>
            <w:rFonts w:ascii="Verdana" w:hAnsi="Verdana"/>
            <w:color w:val="0033FF"/>
            <w:sz w:val="21"/>
            <w:szCs w:val="21"/>
            <w:u w:val="single"/>
            <w:lang w:val="es-ES"/>
          </w:rPr>
          <w:t>Tribunal de Justicia de la Unión Europea, de 21 de abril de 2005, HE (asunto C-25/03)</w:t>
        </w:r>
      </w:hyperlink>
      <w:r w:rsidRPr="005564E7">
        <w:rPr>
          <w:rFonts w:ascii="Verdana" w:hAnsi="Verdana"/>
          <w:sz w:val="21"/>
          <w:szCs w:val="21"/>
          <w:lang w:val="es-ES"/>
        </w:rPr>
        <w:t>, en el caso de una sociedad matrimonial que como tal no realizaba actividades empresariales o profesionales y que adquiere un bien de inversión (inmueble) para afectarlo a la actividad ejercida por uno de los cónyuges, a efectos de la deducción de las correspondientes cuotas soportadas, ha señalado lo siguiente:</w:t>
      </w:r>
    </w:p>
    <w:p w14:paraId="5BA73483"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"75. Esta cuestión trata esencialmente de que se dilucide si los artículos 18, apartado 1, letra a), y 22, apartado 3, de la Sexta Directiva exigen que, para poder ejercer el derecho de deducción en circunstancias como las del litigio principal, el sujeto pasivo disponga de una factura emitida a su nombre, en la que consten las fracciones del precio y del IVA correspondientes a su cuota de copropiedad, o si, a tal fin, basta que la factura se dirija indistintamente a los cónyuges que forman una sociedad conyugal, sin que conste tal desglose.</w:t>
      </w:r>
    </w:p>
    <w:p w14:paraId="389675E8"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w:t>
      </w:r>
    </w:p>
    <w:p w14:paraId="7F3629D5"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 xml:space="preserve">81. Pues bien, en un caso como el controvertido en el litigio principal, no existe riesgo alguno de fraude o abuso, ya que este caso afecta a un tipo muy concreto de copropiedad, a saber, la copropiedad de hecho entre cónyuges, que carece en sí misma de la condición de sujeto pasivo y dentro de la cual sólo uno de los cónyuges ejerce una actividad económica, de modo que queda excluido que las facturas, aun emitidas a nombre del «Sr. y la Sra. HE» y sin hacer constar las fracciones de precio y de IVA correspondientes a la cuota de copropiedad de cada uno de los cónyuges, puedan utilizarse por el cónyuge no sujeto al impuesto o por la sociedad conyugal para obtener otra vez la deducción del mismo importe de IVA. </w:t>
      </w:r>
    </w:p>
    <w:p w14:paraId="5BEFC770"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82. En estas circunstancias, denegar al cónyuge sujeto al impuesto el derecho de deducción por el mero hecho de que las facturas no incluyen las indicaciones que exige el Derecho nacional aplicable sería incompatible con el principio de proporcionalidad.</w:t>
      </w:r>
    </w:p>
    <w:p w14:paraId="18C305A8"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83. Por consiguiente, procede responder a la cuarta cuestión que los artículos 18, apartado 1, letra a), y 22, apartado 3, de la Sexta Directiva no exigen, para poder ejercer el derecho de deducción en circunstancias como las del litigio principal, que el sujeto pasivo disponga de una factura emitida a su nombre, en la que consten las fracciones del precio y del IVA correspondientes a su cuota de copropiedad. A tal fin, basta que la factura se dirija indistintamente a los cónyuges que forman la sociedad conyugal, sin que conste tal desglose.".</w:t>
      </w:r>
    </w:p>
    <w:p w14:paraId="0CBCBC13"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lastRenderedPageBreak/>
        <w:t xml:space="preserve">5.- El </w:t>
      </w:r>
      <w:hyperlink r:id="rId10" w:history="1">
        <w:r w:rsidRPr="005564E7">
          <w:rPr>
            <w:rFonts w:ascii="Verdana" w:hAnsi="Verdana"/>
            <w:color w:val="0033FF"/>
            <w:sz w:val="21"/>
            <w:szCs w:val="21"/>
            <w:u w:val="single"/>
            <w:lang w:val="es-ES"/>
          </w:rPr>
          <w:t>artículo 97 de la Ley 37/1992</w:t>
        </w:r>
      </w:hyperlink>
      <w:r w:rsidRPr="005564E7">
        <w:rPr>
          <w:rFonts w:ascii="Verdana" w:hAnsi="Verdana"/>
          <w:sz w:val="21"/>
          <w:szCs w:val="21"/>
          <w:lang w:val="es-ES"/>
        </w:rPr>
        <w:t>, que se ocupa de regular los requisitos formales para el ejercicio del derecho a la deducción, dispone lo siguiente:</w:t>
      </w:r>
    </w:p>
    <w:p w14:paraId="3F87E7AA"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"Uno. Sólo podrán ejercitar el derecho a la deducción los empresarios o profesionales que estén en posesión del documento justificativo de su derecho.</w:t>
      </w:r>
    </w:p>
    <w:p w14:paraId="5BCF3887"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A estos efectos, únicamente se considerarán documentos justificativos del derecho a la deducción:</w:t>
      </w:r>
    </w:p>
    <w:p w14:paraId="37B86FBB" w14:textId="77777777" w:rsidR="005A7418" w:rsidRPr="0091031D" w:rsidRDefault="00185700">
      <w:pPr>
        <w:spacing w:before="120" w:after="120" w:line="300" w:lineRule="atLeast"/>
        <w:jc w:val="both"/>
        <w:divId w:val="1873882178"/>
        <w:rPr>
          <w:rFonts w:ascii="Verdana" w:hAnsi="Verdana"/>
          <w:sz w:val="21"/>
          <w:szCs w:val="21"/>
          <w:lang w:val="es-ES"/>
        </w:rPr>
      </w:pPr>
      <w:r w:rsidRPr="0091031D">
        <w:rPr>
          <w:rFonts w:ascii="Verdana" w:hAnsi="Verdana"/>
          <w:sz w:val="21"/>
          <w:szCs w:val="21"/>
          <w:lang w:val="es-ES"/>
        </w:rPr>
        <w:t>1º. La factura original expedida por quien realice la entrega o preste el servicio o, en su nombre y por su cuenta, por su cliente o por un tercero, siempre que, para cualquiera de estos casos, se cumplan los requisitos que se establezcan reglamentariamente.</w:t>
      </w:r>
    </w:p>
    <w:p w14:paraId="39A326DC" w14:textId="77777777" w:rsidR="005A7418" w:rsidRPr="0091031D" w:rsidRDefault="00185700">
      <w:pPr>
        <w:spacing w:before="120" w:after="120" w:line="300" w:lineRule="atLeast"/>
        <w:jc w:val="both"/>
        <w:divId w:val="1873882178"/>
        <w:rPr>
          <w:rFonts w:ascii="Verdana" w:hAnsi="Verdana"/>
          <w:sz w:val="21"/>
          <w:szCs w:val="21"/>
          <w:lang w:val="es-ES"/>
        </w:rPr>
      </w:pPr>
      <w:r w:rsidRPr="0091031D">
        <w:rPr>
          <w:rFonts w:ascii="Verdana" w:hAnsi="Verdana"/>
          <w:sz w:val="21"/>
          <w:szCs w:val="21"/>
          <w:lang w:val="es-ES"/>
        </w:rPr>
        <w:t xml:space="preserve">2º. La factura original expedida por quien realice una entrega </w:t>
      </w:r>
      <w:proofErr w:type="gramStart"/>
      <w:r w:rsidRPr="0091031D">
        <w:rPr>
          <w:rFonts w:ascii="Verdana" w:hAnsi="Verdana"/>
          <w:sz w:val="21"/>
          <w:szCs w:val="21"/>
          <w:lang w:val="es-ES"/>
        </w:rPr>
        <w:t>que</w:t>
      </w:r>
      <w:proofErr w:type="gramEnd"/>
      <w:r w:rsidRPr="0091031D">
        <w:rPr>
          <w:rFonts w:ascii="Verdana" w:hAnsi="Verdana"/>
          <w:sz w:val="21"/>
          <w:szCs w:val="21"/>
          <w:lang w:val="es-ES"/>
        </w:rPr>
        <w:t xml:space="preserve"> de lugar a una adquisición intracomunitaria de bienes sujeta al Impuesto, siempre que dicha adquisición esté debidamente consignada en la declaración-liquidación a que se refiere el número 6º del apartado uno del artículo 164 de esta Ley.</w:t>
      </w:r>
    </w:p>
    <w:p w14:paraId="43169C2A" w14:textId="77777777" w:rsidR="005A7418" w:rsidRPr="0091031D" w:rsidRDefault="00185700">
      <w:pPr>
        <w:spacing w:before="120" w:after="120" w:line="300" w:lineRule="atLeast"/>
        <w:jc w:val="both"/>
        <w:divId w:val="1873882178"/>
        <w:rPr>
          <w:rFonts w:ascii="Verdana" w:hAnsi="Verdana"/>
          <w:sz w:val="21"/>
          <w:szCs w:val="21"/>
          <w:lang w:val="es-ES"/>
        </w:rPr>
      </w:pPr>
      <w:r w:rsidRPr="0091031D">
        <w:rPr>
          <w:rFonts w:ascii="Verdana" w:hAnsi="Verdana"/>
          <w:sz w:val="21"/>
          <w:szCs w:val="21"/>
          <w:lang w:val="es-ES"/>
        </w:rPr>
        <w:t>3º. El documento acreditativo del pago del Impuesto a la importación.</w:t>
      </w:r>
    </w:p>
    <w:p w14:paraId="5571D3B8" w14:textId="77777777" w:rsidR="005A7418" w:rsidRPr="0091031D" w:rsidRDefault="00185700">
      <w:pPr>
        <w:spacing w:before="120" w:after="120" w:line="300" w:lineRule="atLeast"/>
        <w:jc w:val="both"/>
        <w:divId w:val="1873882178"/>
        <w:rPr>
          <w:rFonts w:ascii="Verdana" w:hAnsi="Verdana"/>
          <w:sz w:val="21"/>
          <w:szCs w:val="21"/>
          <w:lang w:val="es-ES"/>
        </w:rPr>
      </w:pPr>
      <w:r w:rsidRPr="0091031D">
        <w:rPr>
          <w:rFonts w:ascii="Verdana" w:hAnsi="Verdana"/>
          <w:sz w:val="21"/>
          <w:szCs w:val="21"/>
          <w:lang w:val="es-ES"/>
        </w:rPr>
        <w:t>4º. La factura expedida por el sujeto pasivo en los supuestos previstos en el artículo 165, apartado uno, de esta Ley.</w:t>
      </w:r>
    </w:p>
    <w:p w14:paraId="0AD4193B" w14:textId="77777777" w:rsidR="005A7418" w:rsidRPr="0091031D" w:rsidRDefault="00185700">
      <w:pPr>
        <w:spacing w:before="120" w:after="120" w:line="300" w:lineRule="atLeast"/>
        <w:jc w:val="both"/>
        <w:divId w:val="1873882178"/>
        <w:rPr>
          <w:rFonts w:ascii="Verdana" w:hAnsi="Verdana"/>
          <w:sz w:val="21"/>
          <w:szCs w:val="21"/>
          <w:lang w:val="es-ES"/>
        </w:rPr>
      </w:pPr>
      <w:r w:rsidRPr="0091031D">
        <w:rPr>
          <w:rFonts w:ascii="Verdana" w:hAnsi="Verdana"/>
          <w:sz w:val="21"/>
          <w:szCs w:val="21"/>
          <w:lang w:val="es-ES"/>
        </w:rPr>
        <w:t>5º. El recibo original firmado por el titular de la explotación agrícola, forestal, ganadera o pesquera a que se refiere el artículo 134, apartado tres, de esta Ley.</w:t>
      </w:r>
    </w:p>
    <w:p w14:paraId="05D8A8AE"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Dos. Los documentos anteriores que no cumplan todos y cada uno de los requisitos establecidos legal y reglamentariamente no justificarán el derecho a la deducción, salvo que se produzca la correspondiente rectificación de los mismos. El derecho a la deducción de las cuotas cuyo ejercicio se justifique mediante un documento rectificativo sólo podrá efectuarse en el período impositivo en el que el empresario o profesional reciba dicho documento o en los siguientes, siempre que no haya transcurrido el plazo al que hace referencia el artículo 100 de esta Ley, sin perjuicio de lo dispuesto en el apartado dos del artículo 114 de la misma.</w:t>
      </w:r>
    </w:p>
    <w:p w14:paraId="63CBD02F"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Tres. En ningún caso será admisible el derecho a deducir en cuantía superior a la cuota tributaria expresa y separadamente consignada que haya sido repercutida o, en su caso, satisfecha según el documento justificativo de la deducción.</w:t>
      </w:r>
    </w:p>
    <w:p w14:paraId="1CFE8506"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Cuatro. Tratándose de bienes o servicios adquiridos en común por varias personas, cada uno de los adquirentes podrá efectuar la deducción, en su caso, de la parte proporcional correspondiente, siempre que en el original y en cada uno de los ejemplares duplicados de la factura se consigne, en forma distinta y separada, la porción de base imponible y cuota repercutida a cada uno de los destinatarios.".</w:t>
      </w:r>
    </w:p>
    <w:p w14:paraId="6B420ADF" w14:textId="77777777" w:rsidR="005A7418" w:rsidRPr="0091031D"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 xml:space="preserve">Por su parte, el </w:t>
      </w:r>
      <w:hyperlink r:id="rId11" w:history="1">
        <w:r w:rsidRPr="005564E7">
          <w:rPr>
            <w:rFonts w:ascii="Verdana" w:hAnsi="Verdana"/>
            <w:color w:val="0033FF"/>
            <w:sz w:val="21"/>
            <w:szCs w:val="21"/>
            <w:u w:val="single"/>
            <w:lang w:val="es-ES"/>
          </w:rPr>
          <w:t>artículo 164, apartado uno, número 3º, de la Ley del Impuesto sobre el Valor Añadido</w:t>
        </w:r>
      </w:hyperlink>
      <w:r w:rsidRPr="005564E7">
        <w:rPr>
          <w:rFonts w:ascii="Verdana" w:hAnsi="Verdana"/>
          <w:sz w:val="21"/>
          <w:szCs w:val="21"/>
          <w:lang w:val="es-ES"/>
        </w:rPr>
        <w:t xml:space="preserve">, dispone que sin perjuicio de lo establecido en el título anterior de dicha Ley, los sujetos pasivos del Impuesto estarán obligados, con los requisitos, límites y condiciones que se determinen reglamentariamente, a: "3º. </w:t>
      </w:r>
      <w:r w:rsidRPr="0091031D">
        <w:rPr>
          <w:rFonts w:ascii="Verdana" w:hAnsi="Verdana"/>
          <w:sz w:val="21"/>
          <w:szCs w:val="21"/>
          <w:lang w:val="es-ES"/>
        </w:rPr>
        <w:t>Expedir y entregar factura de todas sus operaciones, ajustada a lo que se determine reglamentariamente.".</w:t>
      </w:r>
    </w:p>
    <w:p w14:paraId="5FA80917"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 xml:space="preserve">El desarrollo reglamentario de dicho precepto se ha llevado a cabo por el Reglamento por el que se regulan las obligaciones de facturación aprobado por el </w:t>
      </w:r>
      <w:hyperlink r:id="rId12" w:history="1">
        <w:r w:rsidRPr="005564E7">
          <w:rPr>
            <w:rFonts w:ascii="Verdana" w:hAnsi="Verdana"/>
            <w:color w:val="0033FF"/>
            <w:sz w:val="21"/>
            <w:szCs w:val="21"/>
            <w:u w:val="single"/>
            <w:lang w:val="es-ES"/>
          </w:rPr>
          <w:t>Real Decreto 1619/2012, de 30 de noviembre</w:t>
        </w:r>
      </w:hyperlink>
      <w:r w:rsidRPr="005564E7">
        <w:rPr>
          <w:rFonts w:ascii="Verdana" w:hAnsi="Verdana"/>
          <w:sz w:val="21"/>
          <w:szCs w:val="21"/>
          <w:lang w:val="es-ES"/>
        </w:rPr>
        <w:t xml:space="preserve"> (BOE de 1 de diciembre).</w:t>
      </w:r>
    </w:p>
    <w:p w14:paraId="4C71AFC4"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lastRenderedPageBreak/>
        <w:t>El artículo 14 del mencionado Reglamento, regula la expedición de duplicados de las facturas de la siguiente forma:</w:t>
      </w:r>
    </w:p>
    <w:p w14:paraId="4070C812"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"1. Los empresarios y profesionales o sujetos pasivos sólo podrán expedir un original de cada factura.</w:t>
      </w:r>
    </w:p>
    <w:p w14:paraId="41B83A86"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2. La expedición de ejemplares duplicados de los originales de las facturas únicamente será admisible en los siguientes casos:</w:t>
      </w:r>
    </w:p>
    <w:p w14:paraId="53A9F44E"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a) Cuando en una misma entrega de bienes o prestación de servicios concurriesen varios destinatarios. En este caso, deberá consignarse en el original y en cada uno de los duplicados la porción de base imponible y de cuota repercutida a cada uno de ellos.</w:t>
      </w:r>
    </w:p>
    <w:p w14:paraId="3A0E3512"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b) En los supuestos de pérdida del original por cualquier causa.</w:t>
      </w:r>
    </w:p>
    <w:p w14:paraId="4E16BA1F"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3. Los ejemplares duplicados a que se refiere el apartado anterior de este artículo tendrán la misma eficacia que los correspondientes documentos originales.</w:t>
      </w:r>
    </w:p>
    <w:p w14:paraId="58EF1525"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4. En cada uno de los ejemplares duplicados deberá hacerse constar la expresión «duplicado».".</w:t>
      </w:r>
    </w:p>
    <w:p w14:paraId="670B1D22" w14:textId="77777777" w:rsidR="005A7418" w:rsidRPr="005564E7" w:rsidRDefault="00185700">
      <w:pPr>
        <w:spacing w:before="120" w:after="120" w:line="300" w:lineRule="atLeast"/>
        <w:jc w:val="both"/>
        <w:divId w:val="1873882178"/>
        <w:rPr>
          <w:rFonts w:ascii="Verdana" w:hAnsi="Verdana"/>
          <w:sz w:val="21"/>
          <w:szCs w:val="21"/>
          <w:lang w:val="es-ES"/>
        </w:rPr>
      </w:pPr>
      <w:r w:rsidRPr="0091031D">
        <w:rPr>
          <w:rFonts w:ascii="Verdana" w:hAnsi="Verdana"/>
          <w:sz w:val="21"/>
          <w:szCs w:val="21"/>
          <w:highlight w:val="cyan"/>
          <w:lang w:val="es-ES"/>
        </w:rPr>
        <w:t xml:space="preserve">Por tanto, si en las facturas que documentan las operaciones de entregas de bienes y prestaciones de servicios cuya destinataria sea la comunidad de propietarios se consigna, en forma distinta y separada, la porción de base imponible y cuota repercutida a cada uno de los citados propietarios, éstos podrán deducir el Impuesto que les ha sido repercutido, siempre que se trate de empresarios o profesionales y se cumplan los demás requisitos para efectuar la deducción, de conformidad con lo previsto en los </w:t>
      </w:r>
      <w:hyperlink r:id="rId13" w:history="1">
        <w:r w:rsidRPr="0091031D">
          <w:rPr>
            <w:rFonts w:ascii="Verdana" w:hAnsi="Verdana"/>
            <w:color w:val="0033FF"/>
            <w:sz w:val="21"/>
            <w:szCs w:val="21"/>
            <w:highlight w:val="cyan"/>
            <w:u w:val="single"/>
            <w:lang w:val="es-ES"/>
          </w:rPr>
          <w:t>artículos 92 y siguientes de la Ley 37/1992</w:t>
        </w:r>
      </w:hyperlink>
      <w:r w:rsidRPr="0091031D">
        <w:rPr>
          <w:rFonts w:ascii="Verdana" w:hAnsi="Verdana"/>
          <w:sz w:val="21"/>
          <w:szCs w:val="21"/>
          <w:highlight w:val="cyan"/>
          <w:lang w:val="es-ES"/>
        </w:rPr>
        <w:t>.</w:t>
      </w:r>
    </w:p>
    <w:p w14:paraId="30698263" w14:textId="77777777" w:rsidR="005A7418" w:rsidRPr="005564E7" w:rsidRDefault="00185700">
      <w:pPr>
        <w:spacing w:before="120" w:after="120" w:line="300" w:lineRule="atLeast"/>
        <w:jc w:val="both"/>
        <w:divId w:val="1873882178"/>
        <w:rPr>
          <w:rFonts w:ascii="Verdana" w:hAnsi="Verdana"/>
          <w:sz w:val="21"/>
          <w:szCs w:val="21"/>
          <w:lang w:val="es-ES"/>
        </w:rPr>
      </w:pPr>
      <w:r w:rsidRPr="0091031D">
        <w:rPr>
          <w:rFonts w:ascii="Verdana" w:hAnsi="Verdana"/>
          <w:sz w:val="21"/>
          <w:szCs w:val="21"/>
          <w:highlight w:val="cyan"/>
          <w:lang w:val="es-ES"/>
        </w:rPr>
        <w:t>Alternativamente, y teniendo en cuenta los criterios establecidos por la sentencia del Tribunal de Justicia de la Unión Europea que se ha transcrito, los miembros de una comunidad de propietarios que por sí misma no tiene la condición de empresario o profesional, que sí tengan dicha condición, podrán deducir las cuotas soportadas por las adquisiciones de bienes y servicios efectuadas a través de la citada comunidad, para lo cual deberán estar en posesión de un duplicado de la factura expedida a nombre de aquella, aunque en la misma no consten los porcentajes de base imponible y cuota tributaria que les correspondan en función de su participación en la comunidad. Dichos porcentajes podrán acreditarse mediante otro tipo de documentos (escritura de división horizontal y obra nueva, estatutos de la comunidad, etc.).</w:t>
      </w:r>
      <w:r w:rsidRPr="005564E7">
        <w:rPr>
          <w:rFonts w:ascii="Verdana" w:hAnsi="Verdana"/>
          <w:sz w:val="21"/>
          <w:szCs w:val="21"/>
          <w:lang w:val="es-ES"/>
        </w:rPr>
        <w:t xml:space="preserve"> </w:t>
      </w:r>
    </w:p>
    <w:p w14:paraId="5ABBCC0E" w14:textId="77777777" w:rsidR="005A7418" w:rsidRPr="005564E7" w:rsidRDefault="00185700">
      <w:pPr>
        <w:spacing w:before="120" w:after="120" w:line="300" w:lineRule="atLeast"/>
        <w:jc w:val="both"/>
        <w:divId w:val="1873882178"/>
        <w:rPr>
          <w:rFonts w:ascii="Verdana" w:hAnsi="Verdana"/>
          <w:sz w:val="21"/>
          <w:szCs w:val="21"/>
          <w:lang w:val="es-ES"/>
        </w:rPr>
      </w:pPr>
      <w:r w:rsidRPr="0091031D">
        <w:rPr>
          <w:rFonts w:ascii="Verdana" w:hAnsi="Verdana"/>
          <w:sz w:val="21"/>
          <w:szCs w:val="21"/>
          <w:highlight w:val="cyan"/>
          <w:lang w:val="es-ES"/>
        </w:rPr>
        <w:t>Adicionalmente, y a estos solos efectos será válido, igualmente, que los comuneros estén en posesión de una copia de la factura original emitida a nombre de la comunidad y que dicha copia sea certificada o diligenciada por el administrador de la referida comunidad de propietarios.</w:t>
      </w:r>
    </w:p>
    <w:p w14:paraId="719028D9" w14:textId="77777777" w:rsidR="005A7418" w:rsidRPr="005564E7" w:rsidRDefault="00185700">
      <w:pPr>
        <w:spacing w:before="120" w:after="120" w:line="300" w:lineRule="atLeast"/>
        <w:jc w:val="both"/>
        <w:divId w:val="1873882178"/>
        <w:rPr>
          <w:rFonts w:ascii="Verdana" w:hAnsi="Verdana"/>
          <w:sz w:val="21"/>
          <w:szCs w:val="21"/>
          <w:lang w:val="es-ES"/>
        </w:rPr>
      </w:pPr>
      <w:r w:rsidRPr="0091031D">
        <w:rPr>
          <w:rFonts w:ascii="Verdana" w:hAnsi="Verdana"/>
          <w:sz w:val="21"/>
          <w:szCs w:val="21"/>
          <w:highlight w:val="cyan"/>
          <w:lang w:val="es-ES"/>
        </w:rPr>
        <w:t>Esta alternativa, excepcional, y que trae su causa de la jurisprudencia comunitaria, únicamente se considera ajustada a derecho en la medida en que la comunidad que aparece como destinataria en la factura no tiene la condición de empresario o profesional, de forma que no cabe, en ninguna medida ni cuantía, la deducción por ésta de las cuotas que soporta, por lo que no hay posibilidad alguna de fraude, evasión o abuso.</w:t>
      </w:r>
    </w:p>
    <w:p w14:paraId="427BFF06" w14:textId="77777777" w:rsidR="005A7418" w:rsidRPr="005564E7" w:rsidRDefault="00185700">
      <w:pPr>
        <w:spacing w:before="120" w:after="120" w:line="300" w:lineRule="atLeast"/>
        <w:jc w:val="both"/>
        <w:divId w:val="1873882178"/>
        <w:rPr>
          <w:rFonts w:ascii="Verdana" w:hAnsi="Verdana"/>
          <w:sz w:val="21"/>
          <w:szCs w:val="21"/>
          <w:lang w:val="es-ES"/>
        </w:rPr>
      </w:pPr>
      <w:r w:rsidRPr="005564E7">
        <w:rPr>
          <w:rFonts w:ascii="Verdana" w:hAnsi="Verdana"/>
          <w:sz w:val="21"/>
          <w:szCs w:val="21"/>
          <w:lang w:val="es-ES"/>
        </w:rPr>
        <w:t xml:space="preserve">6.- Lo que comunico a Vd. con efectos vinculantes, conforme a lo dispuesto en el apartado 1 del </w:t>
      </w:r>
      <w:hyperlink r:id="rId14" w:history="1">
        <w:r w:rsidRPr="005564E7">
          <w:rPr>
            <w:rFonts w:ascii="Verdana" w:hAnsi="Verdana"/>
            <w:color w:val="0033FF"/>
            <w:sz w:val="21"/>
            <w:szCs w:val="21"/>
            <w:u w:val="single"/>
            <w:lang w:val="es-ES"/>
          </w:rPr>
          <w:t>artículo 89 de la Ley 58/2003, de 17 de diciembre, General Tributaria</w:t>
        </w:r>
      </w:hyperlink>
      <w:r w:rsidRPr="005564E7">
        <w:rPr>
          <w:rFonts w:ascii="Verdana" w:hAnsi="Verdana"/>
          <w:sz w:val="21"/>
          <w:szCs w:val="21"/>
          <w:lang w:val="es-ES"/>
        </w:rPr>
        <w:t>.</w:t>
      </w:r>
    </w:p>
    <w:sectPr w:rsidR="005A7418" w:rsidRPr="005564E7">
      <w:headerReference w:type="default" r:id="rId15"/>
      <w:footerReference w:type="default" r:id="rId16"/>
      <w:pgSz w:w="11906" w:h="16838"/>
      <w:pgMar w:top="1840" w:right="720" w:bottom="10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4A2B4" w14:textId="77777777" w:rsidR="005A7418" w:rsidRDefault="00185700">
      <w:r>
        <w:separator/>
      </w:r>
    </w:p>
  </w:endnote>
  <w:endnote w:type="continuationSeparator" w:id="0">
    <w:p w14:paraId="3A7C05BA" w14:textId="77777777" w:rsidR="005A7418" w:rsidRDefault="00185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27"/>
      <w:gridCol w:w="2639"/>
    </w:tblGrid>
    <w:tr w:rsidR="005A7418" w14:paraId="5435EF05" w14:textId="77777777">
      <w:trPr>
        <w:divId w:val="76371862"/>
        <w:tblCellSpacing w:w="15" w:type="dxa"/>
      </w:trPr>
      <w:tc>
        <w:tcPr>
          <w:tcW w:w="3750" w:type="pct"/>
          <w:vAlign w:val="center"/>
          <w:hideMark/>
        </w:tcPr>
        <w:p w14:paraId="2BC33437" w14:textId="77777777" w:rsidR="005A7418" w:rsidRDefault="00185700">
          <w:pPr>
            <w:spacing w:line="300" w:lineRule="atLeast"/>
            <w:textAlignment w:val="center"/>
            <w:rPr>
              <w:rFonts w:ascii="Verdana" w:hAnsi="Verdana"/>
              <w:sz w:val="21"/>
              <w:szCs w:val="21"/>
            </w:rPr>
          </w:pPr>
          <w:r>
            <w:rPr>
              <w:rFonts w:ascii="Verdana" w:hAnsi="Verdana"/>
              <w:sz w:val="21"/>
              <w:szCs w:val="21"/>
            </w:rPr>
            <w:t xml:space="preserve">CISS Fiscal </w:t>
          </w:r>
        </w:p>
      </w:tc>
      <w:tc>
        <w:tcPr>
          <w:tcW w:w="0" w:type="auto"/>
          <w:vAlign w:val="center"/>
          <w:hideMark/>
        </w:tcPr>
        <w:p w14:paraId="7AB6DC7F" w14:textId="77777777" w:rsidR="005A7418" w:rsidRDefault="00185700">
          <w:pPr>
            <w:spacing w:before="75" w:line="300" w:lineRule="atLeast"/>
            <w:ind w:right="150"/>
            <w:jc w:val="right"/>
            <w:textAlignment w:val="center"/>
            <w:rPr>
              <w:rFonts w:ascii="Verdana" w:hAnsi="Verdana"/>
              <w:sz w:val="21"/>
              <w:szCs w:val="21"/>
            </w:rPr>
          </w:pPr>
          <w:r>
            <w:rPr>
              <w:rFonts w:ascii="Verdana" w:hAnsi="Verdana"/>
              <w:sz w:val="21"/>
              <w:szCs w:val="21"/>
            </w:rPr>
            <w:fldChar w:fldCharType="begin"/>
          </w:r>
          <w:r>
            <w:rPr>
              <w:rFonts w:ascii="Verdana" w:hAnsi="Verdana"/>
              <w:sz w:val="21"/>
              <w:szCs w:val="21"/>
            </w:rPr>
            <w:instrText>PAGE</w:instrText>
          </w:r>
          <w:r>
            <w:rPr>
              <w:rFonts w:ascii="Verdana" w:hAnsi="Verdana"/>
              <w:sz w:val="21"/>
              <w:szCs w:val="21"/>
            </w:rPr>
            <w:fldChar w:fldCharType="separate"/>
          </w:r>
          <w:r>
            <w:rPr>
              <w:rFonts w:ascii="Verdana" w:hAnsi="Verdana"/>
              <w:noProof/>
              <w:sz w:val="21"/>
              <w:szCs w:val="21"/>
            </w:rPr>
            <w:t>2</w:t>
          </w:r>
          <w:r>
            <w:rPr>
              <w:rFonts w:ascii="Verdana" w:hAnsi="Verdana"/>
              <w:sz w:val="21"/>
              <w:szCs w:val="21"/>
            </w:rPr>
            <w:fldChar w:fldCharType="end"/>
          </w:r>
          <w:r>
            <w:rPr>
              <w:rFonts w:ascii="Verdana" w:hAnsi="Verdana"/>
              <w:sz w:val="21"/>
              <w:szCs w:val="21"/>
            </w:rPr>
            <w:t xml:space="preserve"> / </w:t>
          </w:r>
          <w:r>
            <w:rPr>
              <w:rFonts w:ascii="Verdana" w:hAnsi="Verdana"/>
              <w:sz w:val="21"/>
              <w:szCs w:val="21"/>
            </w:rPr>
            <w:fldChar w:fldCharType="begin"/>
          </w:r>
          <w:r>
            <w:rPr>
              <w:rFonts w:ascii="Verdana" w:hAnsi="Verdana"/>
              <w:sz w:val="21"/>
              <w:szCs w:val="21"/>
            </w:rPr>
            <w:instrText>NUMPAGES</w:instrText>
          </w:r>
          <w:r>
            <w:rPr>
              <w:rFonts w:ascii="Verdana" w:hAnsi="Verdana"/>
              <w:sz w:val="21"/>
              <w:szCs w:val="21"/>
            </w:rPr>
            <w:fldChar w:fldCharType="separate"/>
          </w:r>
          <w:r>
            <w:rPr>
              <w:rFonts w:ascii="Verdana" w:hAnsi="Verdana"/>
              <w:noProof/>
              <w:sz w:val="21"/>
              <w:szCs w:val="21"/>
            </w:rPr>
            <w:t>2</w:t>
          </w:r>
          <w:r>
            <w:rPr>
              <w:rFonts w:ascii="Verdana" w:hAnsi="Verdana"/>
              <w:sz w:val="21"/>
              <w:szCs w:val="21"/>
            </w:rPr>
            <w:fldChar w:fldCharType="end"/>
          </w:r>
          <w:r>
            <w:rPr>
              <w:rFonts w:ascii="Verdana" w:hAnsi="Verdana"/>
              <w:sz w:val="21"/>
              <w:szCs w:val="21"/>
            </w:rPr>
            <w:t xml:space="preserve"> </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35C21" w14:textId="77777777" w:rsidR="005A7418" w:rsidRDefault="00185700">
      <w:r>
        <w:separator/>
      </w:r>
    </w:p>
  </w:footnote>
  <w:footnote w:type="continuationSeparator" w:id="0">
    <w:p w14:paraId="4E74EEDC" w14:textId="77777777" w:rsidR="005A7418" w:rsidRDefault="00185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Spacing w:w="15" w:type="dxa"/>
      <w:tblBorders>
        <w:top w:val="single" w:sz="6" w:space="0" w:color="D6D6D6"/>
        <w:left w:val="single" w:sz="6" w:space="0" w:color="D6D6D6"/>
        <w:bottom w:val="single" w:sz="6" w:space="0" w:color="D6D6D6"/>
        <w:right w:val="single" w:sz="6" w:space="0" w:color="D6D6D6"/>
      </w:tblBorders>
      <w:tblCellMar>
        <w:top w:w="15" w:type="dxa"/>
        <w:left w:w="15" w:type="dxa"/>
        <w:bottom w:w="15" w:type="dxa"/>
        <w:right w:w="15" w:type="dxa"/>
      </w:tblCellMar>
      <w:tblLook w:val="04A0" w:firstRow="1" w:lastRow="0" w:firstColumn="1" w:lastColumn="0" w:noHBand="0" w:noVBand="1"/>
    </w:tblPr>
    <w:tblGrid>
      <w:gridCol w:w="10354"/>
      <w:gridCol w:w="96"/>
    </w:tblGrid>
    <w:tr w:rsidR="005A7418" w14:paraId="31A0F7A7" w14:textId="77777777">
      <w:trPr>
        <w:divId w:val="790054073"/>
        <w:tblCellSpacing w:w="15" w:type="dxa"/>
      </w:trPr>
      <w:tc>
        <w:tcPr>
          <w:tcW w:w="5000" w:type="pct"/>
          <w:vAlign w:val="center"/>
          <w:hideMark/>
        </w:tcPr>
        <w:p w14:paraId="3A6EAFD1" w14:textId="77777777" w:rsidR="005A7418" w:rsidRDefault="00185700">
          <w:pPr>
            <w:spacing w:line="300" w:lineRule="atLeast"/>
            <w:jc w:val="both"/>
            <w:rPr>
              <w:rFonts w:ascii="Verdana" w:hAnsi="Verdana"/>
              <w:sz w:val="21"/>
              <w:szCs w:val="21"/>
            </w:rPr>
          </w:pPr>
          <w:r>
            <w:rPr>
              <w:rFonts w:ascii="Verdana" w:hAnsi="Verdana"/>
              <w:noProof/>
              <w:sz w:val="21"/>
              <w:szCs w:val="21"/>
            </w:rPr>
            <w:drawing>
              <wp:inline distT="0" distB="0" distL="0" distR="0" wp14:anchorId="2FA9BAE7" wp14:editId="1D740F87">
                <wp:extent cx="1190625" cy="276225"/>
                <wp:effectExtent l="0" t="0" r="9525" b="9525"/>
                <wp:docPr id="1" name="Imagen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276225"/>
                        </a:xfrm>
                        <a:prstGeom prst="rect">
                          <a:avLst/>
                        </a:prstGeom>
                        <a:noFill/>
                        <a:ln>
                          <a:noFill/>
                        </a:ln>
                      </pic:spPr>
                    </pic:pic>
                  </a:graphicData>
                </a:graphic>
              </wp:inline>
            </w:drawing>
          </w:r>
        </w:p>
      </w:tc>
      <w:tc>
        <w:tcPr>
          <w:tcW w:w="550" w:type="pct"/>
          <w:vAlign w:val="center"/>
          <w:hideMark/>
        </w:tcPr>
        <w:p w14:paraId="435BBE51" w14:textId="77777777" w:rsidR="005A7418" w:rsidRDefault="00185700">
          <w:pPr>
            <w:spacing w:line="300" w:lineRule="atLeast"/>
            <w:jc w:val="right"/>
            <w:textAlignment w:val="center"/>
            <w:divId w:val="1262176297"/>
            <w:rPr>
              <w:rFonts w:ascii="Verdana" w:hAnsi="Verdana"/>
              <w:vanish/>
              <w:sz w:val="21"/>
              <w:szCs w:val="21"/>
            </w:rPr>
          </w:pPr>
          <w:r>
            <w:rPr>
              <w:rFonts w:ascii="Verdana" w:hAnsi="Verdana"/>
              <w:vanish/>
              <w:sz w:val="21"/>
              <w:szCs w:val="21"/>
            </w:rPr>
            <w:t>20/09/2023</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700"/>
    <w:rsid w:val="00185700"/>
    <w:rsid w:val="005564E7"/>
    <w:rsid w:val="005A7418"/>
    <w:rsid w:val="00910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049C6"/>
  <w15:chartTrackingRefBased/>
  <w15:docId w15:val="{8B254CA7-183B-451B-8A3E-516560B19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sz w:val="24"/>
      <w:szCs w:val="24"/>
    </w:rPr>
  </w:style>
  <w:style w:type="paragraph" w:styleId="Ttulo1">
    <w:name w:val="heading 1"/>
    <w:basedOn w:val="Normal"/>
    <w:link w:val="Ttulo1Car"/>
    <w:qFormat/>
    <w:pPr>
      <w:spacing w:before="100" w:beforeAutospacing="1" w:after="100" w:afterAutospacing="1"/>
      <w:outlineLvl w:val="0"/>
    </w:pPr>
    <w:rPr>
      <w:b/>
      <w:bCs/>
      <w:kern w:val="36"/>
      <w:sz w:val="48"/>
      <w:szCs w:val="48"/>
    </w:rPr>
  </w:style>
  <w:style w:type="paragraph" w:styleId="Ttulo2">
    <w:name w:val="heading 2"/>
    <w:basedOn w:val="Normal"/>
    <w:link w:val="Ttulo2Car"/>
    <w:qFormat/>
    <w:pPr>
      <w:spacing w:before="100" w:beforeAutospacing="1" w:after="100" w:afterAutospacing="1"/>
      <w:outlineLvl w:val="1"/>
    </w:pPr>
    <w:rPr>
      <w:b/>
      <w:bCs/>
      <w:sz w:val="36"/>
      <w:szCs w:val="36"/>
    </w:rPr>
  </w:style>
  <w:style w:type="paragraph" w:styleId="Ttulo3">
    <w:name w:val="heading 3"/>
    <w:basedOn w:val="Normal"/>
    <w:link w:val="Ttulo3Car"/>
    <w:qFormat/>
    <w:pPr>
      <w:spacing w:before="100" w:beforeAutospacing="1" w:after="100" w:afterAutospacing="1"/>
      <w:outlineLvl w:val="2"/>
    </w:pPr>
    <w:rPr>
      <w:b/>
      <w:bCs/>
      <w:sz w:val="27"/>
      <w:szCs w:val="27"/>
    </w:rPr>
  </w:style>
  <w:style w:type="paragraph" w:styleId="Ttulo4">
    <w:name w:val="heading 4"/>
    <w:basedOn w:val="Normal"/>
    <w:link w:val="Ttulo4Car"/>
    <w:qFormat/>
    <w:pPr>
      <w:spacing w:before="100" w:beforeAutospacing="1" w:after="100" w:afterAutospacing="1"/>
      <w:outlineLvl w:val="3"/>
    </w:pPr>
    <w:rPr>
      <w:b/>
      <w:bCs/>
    </w:rPr>
  </w:style>
  <w:style w:type="paragraph" w:styleId="Ttulo5">
    <w:name w:val="heading 5"/>
    <w:basedOn w:val="Normal"/>
    <w:link w:val="Ttulo5Car"/>
    <w:qFormat/>
    <w:pPr>
      <w:spacing w:before="100" w:beforeAutospacing="1" w:after="100" w:afterAutospacing="1"/>
      <w:outlineLvl w:val="4"/>
    </w:pPr>
    <w:rPr>
      <w:b/>
      <w:bCs/>
      <w:sz w:val="20"/>
      <w:szCs w:val="20"/>
    </w:rPr>
  </w:style>
  <w:style w:type="paragraph" w:styleId="Ttulo6">
    <w:name w:val="heading 6"/>
    <w:basedOn w:val="Normal"/>
    <w:link w:val="Ttulo6Car"/>
    <w:qFormat/>
    <w:pPr>
      <w:spacing w:before="100" w:beforeAutospacing="1" w:after="100" w:afterAutospacing="1"/>
      <w:outlineLvl w:val="5"/>
    </w:pPr>
    <w:rPr>
      <w:b/>
      <w:bCs/>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semiHidden/>
    <w:unhideWhenUsed/>
    <w:rPr>
      <w:color w:val="0000FF"/>
      <w:u w:val="single"/>
    </w:rPr>
  </w:style>
  <w:style w:type="character" w:styleId="Hipervnculovisitado">
    <w:name w:val="FollowedHyperlink"/>
    <w:basedOn w:val="Fuentedeprrafopredeter"/>
    <w:semiHidden/>
    <w:unhideWhenUsed/>
    <w:rPr>
      <w:color w:val="800080"/>
      <w:u w:val="single"/>
    </w:rPr>
  </w:style>
  <w:style w:type="character" w:styleId="CitaHTML">
    <w:name w:val="HTML Cite"/>
    <w:basedOn w:val="Fuentedeprrafopredeter"/>
    <w:semiHidden/>
    <w:unhideWhenUsed/>
    <w:rPr>
      <w:i/>
      <w:iCs/>
    </w:rPr>
  </w:style>
  <w:style w:type="character" w:styleId="DefinicinHTML">
    <w:name w:val="HTML Definition"/>
    <w:basedOn w:val="Fuentedeprrafopredeter"/>
    <w:semiHidden/>
    <w:unhideWhenUsed/>
    <w:rPr>
      <w:i/>
      <w:iCs/>
    </w:rPr>
  </w:style>
  <w:style w:type="character" w:styleId="nfasis">
    <w:name w:val="Emphasis"/>
    <w:basedOn w:val="Fuentedeprrafopredeter"/>
    <w:qFormat/>
    <w:rPr>
      <w:i/>
      <w:iCs/>
    </w:rPr>
  </w:style>
  <w:style w:type="character" w:customStyle="1" w:styleId="Ttulo1Car">
    <w:name w:val="Título 1 Car"/>
    <w:basedOn w:val="Fuentedeprrafopredeter"/>
    <w:link w:val="Ttulo1"/>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semiHidden/>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semiHidden/>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semiHidden/>
    <w:rPr>
      <w:rFonts w:asciiTheme="majorHAnsi" w:eastAsiaTheme="majorEastAsia" w:hAnsiTheme="majorHAnsi" w:cstheme="majorBidi"/>
      <w:i/>
      <w:iCs/>
      <w:color w:val="2E74B5" w:themeColor="accent1" w:themeShade="BF"/>
      <w:sz w:val="24"/>
      <w:szCs w:val="24"/>
    </w:rPr>
  </w:style>
  <w:style w:type="character" w:customStyle="1" w:styleId="Ttulo5Car">
    <w:name w:val="Título 5 Car"/>
    <w:basedOn w:val="Fuentedeprrafopredeter"/>
    <w:link w:val="Ttulo5"/>
    <w:semiHidden/>
    <w:rPr>
      <w:rFonts w:asciiTheme="majorHAnsi" w:eastAsiaTheme="majorEastAsia" w:hAnsiTheme="majorHAnsi" w:cstheme="majorBidi"/>
      <w:color w:val="2E74B5" w:themeColor="accent1" w:themeShade="BF"/>
      <w:sz w:val="24"/>
      <w:szCs w:val="24"/>
    </w:rPr>
  </w:style>
  <w:style w:type="character" w:customStyle="1" w:styleId="Ttulo6Car">
    <w:name w:val="Título 6 Car"/>
    <w:basedOn w:val="Fuentedeprrafopredeter"/>
    <w:link w:val="Ttulo6"/>
    <w:semiHidden/>
    <w:rPr>
      <w:rFonts w:asciiTheme="majorHAnsi" w:eastAsiaTheme="majorEastAsia" w:hAnsiTheme="majorHAnsi" w:cstheme="majorBidi"/>
      <w:color w:val="1F4D78" w:themeColor="accent1" w:themeShade="7F"/>
      <w:sz w:val="24"/>
      <w:szCs w:val="24"/>
    </w:rPr>
  </w:style>
  <w:style w:type="character" w:styleId="Textoennegrita">
    <w:name w:val="Strong"/>
    <w:basedOn w:val="Fuentedeprrafopredeter"/>
    <w:qFormat/>
    <w:rPr>
      <w:b/>
      <w:bCs/>
    </w:rPr>
  </w:style>
  <w:style w:type="paragraph" w:customStyle="1" w:styleId="ai">
    <w:name w:val="ai"/>
    <w:basedOn w:val="Normal"/>
    <w:pPr>
      <w:spacing w:before="100" w:beforeAutospacing="1" w:after="100" w:afterAutospacing="1"/>
    </w:pPr>
  </w:style>
  <w:style w:type="paragraph" w:customStyle="1" w:styleId="ac">
    <w:name w:val="ac"/>
    <w:basedOn w:val="Normal"/>
    <w:pPr>
      <w:spacing w:before="100" w:beforeAutospacing="1" w:after="100" w:afterAutospacing="1"/>
    </w:pPr>
  </w:style>
  <w:style w:type="paragraph" w:styleId="NormalWeb">
    <w:name w:val="Normal (Web)"/>
    <w:basedOn w:val="Normal"/>
    <w:semiHidden/>
    <w:unhideWhenUsed/>
    <w:pPr>
      <w:spacing w:before="100" w:beforeAutospacing="1" w:after="100" w:afterAutospacing="1"/>
    </w:pPr>
  </w:style>
  <w:style w:type="paragraph" w:customStyle="1" w:styleId="ldf">
    <w:name w:val="ldf"/>
    <w:basedOn w:val="Normal"/>
    <w:pPr>
      <w:spacing w:before="100" w:beforeAutospacing="1" w:after="100" w:afterAutospacing="1"/>
    </w:pPr>
  </w:style>
  <w:style w:type="paragraph" w:customStyle="1" w:styleId="ldr">
    <w:name w:val="ldr"/>
    <w:basedOn w:val="Normal"/>
    <w:pPr>
      <w:spacing w:before="100" w:beforeAutospacing="1" w:after="100" w:afterAutospacing="1"/>
    </w:pPr>
  </w:style>
  <w:style w:type="paragraph" w:customStyle="1" w:styleId="ltp">
    <w:name w:val="ltp"/>
    <w:basedOn w:val="Normal"/>
    <w:pPr>
      <w:spacing w:before="100" w:beforeAutospacing="1" w:after="100" w:afterAutospacing="1"/>
    </w:pPr>
  </w:style>
  <w:style w:type="paragraph" w:customStyle="1" w:styleId="pau">
    <w:name w:val="pau"/>
    <w:basedOn w:val="Normal"/>
    <w:pPr>
      <w:spacing w:before="100" w:beforeAutospacing="1" w:after="100" w:afterAutospacing="1"/>
    </w:pPr>
  </w:style>
  <w:style w:type="paragraph" w:customStyle="1" w:styleId="ppr">
    <w:name w:val="ppr"/>
    <w:basedOn w:val="Normal"/>
    <w:pPr>
      <w:spacing w:before="100" w:beforeAutospacing="1" w:after="100" w:afterAutospacing="1"/>
    </w:pPr>
  </w:style>
  <w:style w:type="paragraph" w:customStyle="1" w:styleId="pof">
    <w:name w:val="pof"/>
    <w:basedOn w:val="Normal"/>
    <w:pPr>
      <w:spacing w:before="100" w:beforeAutospacing="1" w:after="100" w:afterAutospacing="1"/>
    </w:pPr>
  </w:style>
  <w:style w:type="paragraph" w:customStyle="1" w:styleId="pex">
    <w:name w:val="pex"/>
    <w:basedOn w:val="Normal"/>
    <w:pPr>
      <w:spacing w:before="100" w:beforeAutospacing="1" w:after="100" w:afterAutospacing="1"/>
    </w:pPr>
  </w:style>
  <w:style w:type="paragraph" w:customStyle="1" w:styleId="ctd">
    <w:name w:val="ctd"/>
    <w:basedOn w:val="Normal"/>
    <w:pPr>
      <w:spacing w:before="100" w:beforeAutospacing="1" w:after="100" w:afterAutospacing="1"/>
    </w:pPr>
  </w:style>
  <w:style w:type="paragraph" w:customStyle="1" w:styleId="jta">
    <w:name w:val="jta"/>
    <w:basedOn w:val="Normal"/>
    <w:pPr>
      <w:spacing w:before="100" w:beforeAutospacing="1" w:after="100" w:afterAutospacing="1"/>
    </w:pPr>
  </w:style>
  <w:style w:type="paragraph" w:customStyle="1" w:styleId="jcj">
    <w:name w:val="jcj"/>
    <w:basedOn w:val="Normal"/>
    <w:pPr>
      <w:spacing w:before="100" w:beforeAutospacing="1" w:after="100" w:afterAutospacing="1"/>
    </w:pPr>
  </w:style>
  <w:style w:type="paragraph" w:customStyle="1" w:styleId="jre">
    <w:name w:val="jre"/>
    <w:basedOn w:val="Normal"/>
    <w:pPr>
      <w:spacing w:before="100" w:beforeAutospacing="1" w:after="100" w:afterAutospacing="1"/>
    </w:pPr>
  </w:style>
  <w:style w:type="paragraph" w:customStyle="1" w:styleId="cre">
    <w:name w:val="cre"/>
    <w:basedOn w:val="Normal"/>
    <w:pPr>
      <w:spacing w:before="100" w:beforeAutospacing="1" w:after="100" w:afterAutospacing="1"/>
    </w:pPr>
  </w:style>
  <w:style w:type="paragraph" w:customStyle="1" w:styleId="fab">
    <w:name w:val="fab"/>
    <w:basedOn w:val="Normal"/>
    <w:pPr>
      <w:spacing w:before="100" w:beforeAutospacing="1" w:after="100" w:afterAutospacing="1"/>
    </w:pPr>
  </w:style>
  <w:style w:type="paragraph" w:customStyle="1" w:styleId="dab">
    <w:name w:val="dab"/>
    <w:basedOn w:val="Normal"/>
    <w:pPr>
      <w:spacing w:before="100" w:beforeAutospacing="1" w:after="100" w:afterAutospacing="1"/>
    </w:pPr>
  </w:style>
  <w:style w:type="paragraph" w:customStyle="1" w:styleId="ctit">
    <w:name w:val="ctit"/>
    <w:basedOn w:val="Normal"/>
    <w:pPr>
      <w:spacing w:before="100" w:beforeAutospacing="1" w:after="100" w:afterAutospacing="1"/>
    </w:pPr>
  </w:style>
  <w:style w:type="paragraph" w:customStyle="1" w:styleId="d2">
    <w:name w:val="d2"/>
    <w:basedOn w:val="Normal"/>
    <w:pPr>
      <w:spacing w:before="100" w:beforeAutospacing="1" w:after="100" w:afterAutospacing="1"/>
    </w:pPr>
  </w:style>
  <w:style w:type="paragraph" w:customStyle="1" w:styleId="d3">
    <w:name w:val="d3"/>
    <w:basedOn w:val="Normal"/>
    <w:pPr>
      <w:spacing w:before="100" w:beforeAutospacing="1" w:after="100" w:afterAutospacing="1"/>
    </w:pPr>
  </w:style>
  <w:style w:type="paragraph" w:customStyle="1" w:styleId="d4">
    <w:name w:val="d4"/>
    <w:basedOn w:val="Normal"/>
    <w:pPr>
      <w:spacing w:before="100" w:beforeAutospacing="1" w:after="100" w:afterAutospacing="1"/>
    </w:pPr>
  </w:style>
  <w:style w:type="paragraph" w:customStyle="1" w:styleId="d5">
    <w:name w:val="d5"/>
    <w:basedOn w:val="Normal"/>
    <w:pPr>
      <w:spacing w:before="100" w:beforeAutospacing="1" w:after="100" w:afterAutospacing="1"/>
    </w:pPr>
  </w:style>
  <w:style w:type="paragraph" w:customStyle="1" w:styleId="d6">
    <w:name w:val="d6"/>
    <w:basedOn w:val="Normal"/>
    <w:pPr>
      <w:spacing w:before="100" w:beforeAutospacing="1" w:after="100" w:afterAutospacing="1"/>
    </w:pPr>
  </w:style>
  <w:style w:type="paragraph" w:customStyle="1" w:styleId="d7">
    <w:name w:val="d7"/>
    <w:basedOn w:val="Normal"/>
    <w:pPr>
      <w:spacing w:before="100" w:beforeAutospacing="1" w:after="100" w:afterAutospacing="1"/>
    </w:pPr>
  </w:style>
  <w:style w:type="paragraph" w:customStyle="1" w:styleId="fau">
    <w:name w:val="fau"/>
    <w:basedOn w:val="Normal"/>
    <w:pPr>
      <w:spacing w:before="100" w:beforeAutospacing="1" w:after="100" w:afterAutospacing="1"/>
    </w:pPr>
  </w:style>
  <w:style w:type="paragraph" w:customStyle="1" w:styleId="lca">
    <w:name w:val="lca"/>
    <w:basedOn w:val="Normal"/>
    <w:pPr>
      <w:spacing w:before="100" w:beforeAutospacing="1" w:after="100" w:afterAutospacing="1"/>
    </w:pPr>
  </w:style>
  <w:style w:type="paragraph" w:customStyle="1" w:styleId="lfe">
    <w:name w:val="lfe"/>
    <w:basedOn w:val="Normal"/>
    <w:pPr>
      <w:spacing w:before="100" w:beforeAutospacing="1" w:after="100" w:afterAutospacing="1"/>
    </w:pPr>
  </w:style>
  <w:style w:type="paragraph" w:customStyle="1" w:styleId="lin">
    <w:name w:val="lin"/>
    <w:basedOn w:val="Normal"/>
    <w:pPr>
      <w:spacing w:before="100" w:beforeAutospacing="1" w:after="100" w:afterAutospacing="1"/>
    </w:pPr>
  </w:style>
  <w:style w:type="paragraph" w:customStyle="1" w:styleId="llu">
    <w:name w:val="llu"/>
    <w:basedOn w:val="Normal"/>
    <w:pPr>
      <w:spacing w:before="100" w:beforeAutospacing="1" w:after="100" w:afterAutospacing="1"/>
    </w:pPr>
  </w:style>
  <w:style w:type="paragraph" w:customStyle="1" w:styleId="lnm">
    <w:name w:val="lnm"/>
    <w:basedOn w:val="Normal"/>
    <w:pPr>
      <w:spacing w:before="100" w:beforeAutospacing="1" w:after="100" w:afterAutospacing="1"/>
    </w:pPr>
  </w:style>
  <w:style w:type="paragraph" w:customStyle="1" w:styleId="lps">
    <w:name w:val="lps"/>
    <w:basedOn w:val="Normal"/>
    <w:pPr>
      <w:spacing w:before="100" w:beforeAutospacing="1" w:after="100" w:afterAutospacing="1"/>
    </w:pPr>
  </w:style>
  <w:style w:type="paragraph" w:customStyle="1" w:styleId="dfr">
    <w:name w:val="dfr"/>
    <w:basedOn w:val="Normal"/>
    <w:pPr>
      <w:spacing w:before="100" w:beforeAutospacing="1" w:after="100" w:afterAutospacing="1"/>
    </w:pPr>
    <w:rPr>
      <w:u w:val="single"/>
    </w:rPr>
  </w:style>
  <w:style w:type="paragraph" w:customStyle="1" w:styleId="titulo">
    <w:name w:val="titulo"/>
    <w:basedOn w:val="Normal"/>
    <w:pPr>
      <w:spacing w:before="100" w:beforeAutospacing="1" w:after="100" w:afterAutospacing="1"/>
    </w:pPr>
  </w:style>
  <w:style w:type="paragraph" w:customStyle="1" w:styleId="cdin">
    <w:name w:val="cdin"/>
    <w:basedOn w:val="Normal"/>
    <w:pPr>
      <w:spacing w:before="100" w:beforeAutospacing="1" w:after="100" w:afterAutospacing="1"/>
    </w:pPr>
  </w:style>
  <w:style w:type="paragraph" w:customStyle="1" w:styleId="jpte">
    <w:name w:val="jpte"/>
    <w:basedOn w:val="Normal"/>
    <w:pPr>
      <w:spacing w:before="100" w:beforeAutospacing="1" w:after="100" w:afterAutospacing="1"/>
    </w:pPr>
  </w:style>
  <w:style w:type="paragraph" w:customStyle="1" w:styleId="a">
    <w:name w:val="a"/>
    <w:basedOn w:val="Normal"/>
    <w:pPr>
      <w:spacing w:before="100" w:beforeAutospacing="1" w:after="100" w:afterAutospacing="1"/>
    </w:pPr>
  </w:style>
  <w:style w:type="paragraph" w:customStyle="1" w:styleId="notafinal">
    <w:name w:val="notafinal"/>
    <w:basedOn w:val="Normal"/>
    <w:pPr>
      <w:spacing w:before="100" w:beforeAutospacing="1" w:after="100" w:afterAutospacing="1"/>
    </w:pPr>
    <w:rPr>
      <w:b/>
      <w:bCs/>
      <w:color w:val="9F2943"/>
    </w:rPr>
  </w:style>
  <w:style w:type="paragraph" w:customStyle="1" w:styleId="firstlevelcheck">
    <w:name w:val="firstlevelcheck"/>
    <w:basedOn w:val="Normal"/>
    <w:pPr>
      <w:spacing w:before="100" w:beforeAutospacing="1" w:after="100" w:afterAutospacing="1"/>
    </w:pPr>
    <w:rPr>
      <w:b/>
      <w:bCs/>
    </w:rPr>
  </w:style>
  <w:style w:type="paragraph" w:customStyle="1" w:styleId="secondlevelcheck">
    <w:name w:val="secondlevelcheck"/>
    <w:basedOn w:val="Normal"/>
    <w:pPr>
      <w:spacing w:before="100" w:beforeAutospacing="1" w:after="100" w:afterAutospacing="1"/>
    </w:pPr>
    <w:rPr>
      <w:b/>
      <w:bCs/>
      <w:sz w:val="20"/>
      <w:szCs w:val="20"/>
    </w:rPr>
  </w:style>
  <w:style w:type="paragraph" w:customStyle="1" w:styleId="secondlevelchecktext">
    <w:name w:val="secondlevelchecktext"/>
    <w:basedOn w:val="Normal"/>
    <w:pPr>
      <w:spacing w:before="100" w:beforeAutospacing="1" w:after="100" w:afterAutospacing="1"/>
    </w:pPr>
    <w:rPr>
      <w:sz w:val="17"/>
      <w:szCs w:val="17"/>
    </w:rPr>
  </w:style>
  <w:style w:type="paragraph" w:customStyle="1" w:styleId="rgroup">
    <w:name w:val="rgroup"/>
    <w:basedOn w:val="Normal"/>
    <w:pPr>
      <w:spacing w:before="100" w:beforeAutospacing="1" w:after="100" w:afterAutospacing="1"/>
    </w:pPr>
    <w:rPr>
      <w:sz w:val="22"/>
      <w:szCs w:val="22"/>
    </w:rPr>
  </w:style>
  <w:style w:type="paragraph" w:customStyle="1" w:styleId="marginlevel1">
    <w:name w:val="marginlevel1"/>
    <w:basedOn w:val="Normal"/>
    <w:pPr>
      <w:spacing w:before="100" w:beforeAutospacing="1" w:after="100" w:afterAutospacing="1"/>
      <w:ind w:left="225"/>
    </w:pPr>
    <w:rPr>
      <w:sz w:val="20"/>
      <w:szCs w:val="20"/>
    </w:rPr>
  </w:style>
  <w:style w:type="paragraph" w:customStyle="1" w:styleId="marginlevel2">
    <w:name w:val="marginlevel2"/>
    <w:basedOn w:val="Normal"/>
    <w:pPr>
      <w:spacing w:before="100" w:beforeAutospacing="1" w:after="100" w:afterAutospacing="1"/>
      <w:ind w:left="975"/>
    </w:pPr>
    <w:rPr>
      <w:sz w:val="20"/>
      <w:szCs w:val="20"/>
    </w:rPr>
  </w:style>
  <w:style w:type="paragraph" w:customStyle="1" w:styleId="textheaderlevel1">
    <w:name w:val="textheaderlevel1"/>
    <w:basedOn w:val="Normal"/>
    <w:pPr>
      <w:spacing w:before="100" w:beforeAutospacing="1" w:after="100" w:afterAutospacing="1"/>
    </w:pPr>
    <w:rPr>
      <w:sz w:val="23"/>
      <w:szCs w:val="23"/>
    </w:rPr>
  </w:style>
  <w:style w:type="paragraph" w:customStyle="1" w:styleId="textheaderlevel2">
    <w:name w:val="textheaderlevel2"/>
    <w:basedOn w:val="Normal"/>
    <w:pPr>
      <w:spacing w:before="100" w:beforeAutospacing="1" w:after="100" w:afterAutospacing="1"/>
    </w:pPr>
    <w:rPr>
      <w:sz w:val="22"/>
      <w:szCs w:val="22"/>
    </w:rPr>
  </w:style>
  <w:style w:type="paragraph" w:customStyle="1" w:styleId="optionaltext">
    <w:name w:val="optionaltext"/>
    <w:basedOn w:val="Normal"/>
    <w:pPr>
      <w:spacing w:before="100" w:beforeAutospacing="1" w:after="100" w:afterAutospacing="1"/>
    </w:pPr>
    <w:rPr>
      <w:b/>
      <w:bCs/>
      <w:i/>
      <w:iCs/>
      <w:color w:val="CC0000"/>
      <w:u w:val="single"/>
    </w:rPr>
  </w:style>
  <w:style w:type="paragraph" w:customStyle="1" w:styleId="wrapper">
    <w:name w:val="wrapper"/>
    <w:basedOn w:val="Normal"/>
    <w:pPr>
      <w:spacing w:before="100" w:beforeAutospacing="1" w:after="100" w:afterAutospacing="1"/>
      <w:ind w:left="300"/>
    </w:pPr>
  </w:style>
  <w:style w:type="paragraph" w:customStyle="1" w:styleId="wordor">
    <w:name w:val="wordor"/>
    <w:basedOn w:val="Normal"/>
    <w:pPr>
      <w:spacing w:before="100" w:beforeAutospacing="1" w:after="100" w:afterAutospacing="1"/>
    </w:pPr>
    <w:rPr>
      <w:color w:val="CC0000"/>
    </w:rPr>
  </w:style>
  <w:style w:type="paragraph" w:customStyle="1" w:styleId="options-radio-group-radio-box">
    <w:name w:val="options-radio-group-radio-box"/>
    <w:basedOn w:val="Normal"/>
    <w:pPr>
      <w:spacing w:before="100" w:beforeAutospacing="1" w:after="100" w:afterAutospacing="1"/>
    </w:pPr>
    <w:rPr>
      <w:b/>
      <w:bCs/>
      <w:i/>
      <w:iCs/>
      <w:color w:val="CC0000"/>
      <w:u w:val="single"/>
    </w:rPr>
  </w:style>
  <w:style w:type="paragraph" w:customStyle="1" w:styleId="Encabezado1">
    <w:name w:val="Encabezado1"/>
    <w:basedOn w:val="Normal"/>
    <w:pPr>
      <w:spacing w:before="100" w:beforeAutospacing="1" w:after="300"/>
    </w:pPr>
  </w:style>
  <w:style w:type="paragraph" w:customStyle="1" w:styleId="tabslistcontrol1">
    <w:name w:val="tabslistcontrol1"/>
    <w:basedOn w:val="Normal"/>
    <w:pPr>
      <w:spacing w:before="100" w:beforeAutospacing="1" w:after="100" w:afterAutospacing="1"/>
    </w:pPr>
  </w:style>
  <w:style w:type="paragraph" w:customStyle="1" w:styleId="Piedepgina1">
    <w:name w:val="Pie de página1"/>
    <w:basedOn w:val="Normal"/>
    <w:pPr>
      <w:spacing w:before="100" w:beforeAutospacing="1" w:after="100" w:afterAutospacing="1"/>
    </w:pPr>
  </w:style>
  <w:style w:type="paragraph" w:customStyle="1" w:styleId="titleselectedtext">
    <w:name w:val="titleselectedtext"/>
    <w:basedOn w:val="Normal"/>
    <w:pPr>
      <w:spacing w:before="100" w:beforeAutospacing="1" w:after="100" w:afterAutospacing="1" w:line="390" w:lineRule="atLeast"/>
      <w:jc w:val="center"/>
    </w:pPr>
    <w:rPr>
      <w:b/>
      <w:bCs/>
      <w:color w:val="8E1537"/>
      <w:sz w:val="27"/>
      <w:szCs w:val="27"/>
    </w:rPr>
  </w:style>
  <w:style w:type="paragraph" w:customStyle="1" w:styleId="drec">
    <w:name w:val="drec"/>
    <w:basedOn w:val="Normal"/>
    <w:pPr>
      <w:pBdr>
        <w:top w:val="single" w:sz="6" w:space="12" w:color="DBDBDB"/>
        <w:left w:val="single" w:sz="6" w:space="12" w:color="DBDBDB"/>
        <w:bottom w:val="single" w:sz="6" w:space="12" w:color="DBDBDB"/>
        <w:right w:val="single" w:sz="6" w:space="12" w:color="DBDBDB"/>
      </w:pBdr>
      <w:spacing w:before="240" w:after="100" w:afterAutospacing="1"/>
    </w:pPr>
  </w:style>
  <w:style w:type="paragraph" w:customStyle="1" w:styleId="de">
    <w:name w:val="de"/>
    <w:basedOn w:val="Normal"/>
    <w:pPr>
      <w:shd w:val="clear" w:color="auto" w:fill="F3F3F3"/>
      <w:spacing w:before="100" w:beforeAutospacing="1" w:after="100" w:afterAutospacing="1"/>
    </w:pPr>
  </w:style>
  <w:style w:type="paragraph" w:customStyle="1" w:styleId="pireportclusterdescription">
    <w:name w:val="pireportclusterdescription"/>
    <w:basedOn w:val="Normal"/>
    <w:pPr>
      <w:pBdr>
        <w:bottom w:val="single" w:sz="6" w:space="0" w:color="C3D4E6"/>
      </w:pBdr>
      <w:spacing w:before="150" w:after="75"/>
      <w:ind w:left="600" w:right="600"/>
    </w:pPr>
    <w:rPr>
      <w:b/>
      <w:bCs/>
      <w:caps/>
      <w:color w:val="00406C"/>
      <w:sz w:val="26"/>
      <w:szCs w:val="26"/>
    </w:rPr>
  </w:style>
  <w:style w:type="paragraph" w:customStyle="1" w:styleId="pireportdocumenttitle">
    <w:name w:val="pireportdocumenttitle"/>
    <w:basedOn w:val="Normal"/>
    <w:pPr>
      <w:spacing w:before="150" w:after="100" w:afterAutospacing="1"/>
    </w:pPr>
    <w:rPr>
      <w:b/>
      <w:bCs/>
      <w:sz w:val="20"/>
      <w:szCs w:val="20"/>
    </w:rPr>
  </w:style>
  <w:style w:type="paragraph" w:customStyle="1" w:styleId="pireportfragment">
    <w:name w:val="pireportfragment"/>
    <w:basedOn w:val="Normal"/>
    <w:pPr>
      <w:spacing w:before="150" w:after="100" w:afterAutospacing="1"/>
      <w:ind w:left="300"/>
      <w:jc w:val="both"/>
    </w:pPr>
    <w:rPr>
      <w:sz w:val="18"/>
      <w:szCs w:val="18"/>
    </w:rPr>
  </w:style>
  <w:style w:type="paragraph" w:customStyle="1" w:styleId="exisisc">
    <w:name w:val="exisisc"/>
    <w:basedOn w:val="Normal"/>
    <w:pPr>
      <w:spacing w:before="100" w:beforeAutospacing="1" w:after="100" w:afterAutospacing="1"/>
    </w:pPr>
    <w:rPr>
      <w:vanish/>
    </w:rPr>
  </w:style>
  <w:style w:type="paragraph" w:customStyle="1" w:styleId="verredaccionesexport">
    <w:name w:val="verredaccionesexport"/>
    <w:basedOn w:val="Normal"/>
    <w:pPr>
      <w:spacing w:before="450" w:after="450"/>
      <w:ind w:left="450" w:right="450"/>
    </w:pPr>
  </w:style>
  <w:style w:type="paragraph" w:customStyle="1" w:styleId="ccn">
    <w:name w:val="ccn"/>
    <w:basedOn w:val="Normal"/>
    <w:pPr>
      <w:shd w:val="clear" w:color="auto" w:fill="DBDBDB"/>
      <w:spacing w:before="100" w:beforeAutospacing="1" w:after="120"/>
    </w:pPr>
  </w:style>
  <w:style w:type="paragraph" w:customStyle="1" w:styleId="h2">
    <w:name w:val="h2"/>
    <w:basedOn w:val="Normal"/>
    <w:pPr>
      <w:spacing w:before="100" w:beforeAutospacing="1" w:after="105"/>
      <w:ind w:left="435"/>
    </w:pPr>
    <w:rPr>
      <w:b/>
      <w:bCs/>
      <w:color w:val="9F2943"/>
      <w:sz w:val="26"/>
      <w:szCs w:val="26"/>
    </w:rPr>
  </w:style>
  <w:style w:type="paragraph" w:customStyle="1" w:styleId="radiogroup-text">
    <w:name w:val="radiogroup-text"/>
    <w:basedOn w:val="Normal"/>
    <w:pPr>
      <w:spacing w:before="100" w:beforeAutospacing="1" w:after="100" w:afterAutospacing="1"/>
    </w:pPr>
  </w:style>
  <w:style w:type="paragraph" w:customStyle="1" w:styleId="plusminusgroup-text">
    <w:name w:val="plusminusgroup-text"/>
    <w:basedOn w:val="Normal"/>
    <w:pPr>
      <w:spacing w:before="100" w:beforeAutospacing="1" w:after="100" w:afterAutospacing="1"/>
    </w:pPr>
  </w:style>
  <w:style w:type="paragraph" w:customStyle="1" w:styleId="container">
    <w:name w:val="container"/>
    <w:basedOn w:val="Normal"/>
    <w:pPr>
      <w:spacing w:before="100" w:beforeAutospacing="1" w:after="100" w:afterAutospacing="1"/>
    </w:pPr>
  </w:style>
  <w:style w:type="paragraph" w:customStyle="1" w:styleId="logo">
    <w:name w:val="logo"/>
    <w:basedOn w:val="Normal"/>
    <w:pPr>
      <w:spacing w:before="100" w:beforeAutospacing="1" w:after="100" w:afterAutospacing="1"/>
    </w:pPr>
  </w:style>
  <w:style w:type="paragraph" w:customStyle="1" w:styleId="Fecha1">
    <w:name w:val="Fecha1"/>
    <w:basedOn w:val="Normal"/>
    <w:pPr>
      <w:spacing w:before="100" w:beforeAutospacing="1" w:after="100" w:afterAutospacing="1"/>
    </w:pPr>
  </w:style>
  <w:style w:type="paragraph" w:customStyle="1" w:styleId="legaltexttd">
    <w:name w:val="legaltexttd"/>
    <w:basedOn w:val="Normal"/>
    <w:pPr>
      <w:spacing w:before="100" w:beforeAutospacing="1" w:after="100" w:afterAutospacing="1"/>
    </w:pPr>
  </w:style>
  <w:style w:type="paragraph" w:customStyle="1" w:styleId="pagesnumbertd">
    <w:name w:val="pagesnumbertd"/>
    <w:basedOn w:val="Normal"/>
    <w:pPr>
      <w:spacing w:before="100" w:beforeAutospacing="1" w:after="100" w:afterAutospacing="1"/>
    </w:pPr>
  </w:style>
  <w:style w:type="paragraph" w:customStyle="1" w:styleId="idu">
    <w:name w:val="idu"/>
    <w:basedOn w:val="Normal"/>
    <w:pPr>
      <w:spacing w:before="100" w:beforeAutospacing="1" w:after="100" w:afterAutospacing="1"/>
    </w:pPr>
  </w:style>
  <w:style w:type="paragraph" w:customStyle="1" w:styleId="text">
    <w:name w:val="text"/>
    <w:basedOn w:val="Normal"/>
    <w:pPr>
      <w:spacing w:before="100" w:beforeAutospacing="1" w:after="100" w:afterAutospacing="1"/>
    </w:pPr>
  </w:style>
  <w:style w:type="paragraph" w:customStyle="1" w:styleId="legaltext">
    <w:name w:val="legaltext"/>
    <w:basedOn w:val="Normal"/>
    <w:pPr>
      <w:spacing w:before="100" w:beforeAutospacing="1" w:after="100" w:afterAutospacing="1"/>
    </w:pPr>
  </w:style>
  <w:style w:type="paragraph" w:customStyle="1" w:styleId="pagesnumber">
    <w:name w:val="pagesnumber"/>
    <w:basedOn w:val="Normal"/>
    <w:pPr>
      <w:spacing w:before="100" w:beforeAutospacing="1" w:after="100" w:afterAutospacing="1"/>
    </w:pPr>
  </w:style>
  <w:style w:type="paragraph" w:customStyle="1" w:styleId="tableitem">
    <w:name w:val="tableitem"/>
    <w:basedOn w:val="Normal"/>
    <w:pPr>
      <w:spacing w:before="100" w:beforeAutospacing="1" w:after="100" w:afterAutospacing="1"/>
    </w:pPr>
  </w:style>
  <w:style w:type="paragraph" w:customStyle="1" w:styleId="jcon">
    <w:name w:val="jcon"/>
    <w:basedOn w:val="Normal"/>
    <w:pPr>
      <w:spacing w:before="100" w:beforeAutospacing="1" w:after="100" w:afterAutospacing="1"/>
    </w:pPr>
  </w:style>
  <w:style w:type="paragraph" w:customStyle="1" w:styleId="av">
    <w:name w:val="av"/>
    <w:basedOn w:val="Normal"/>
    <w:pPr>
      <w:spacing w:before="100" w:beforeAutospacing="1" w:after="100" w:afterAutospacing="1"/>
    </w:pPr>
  </w:style>
  <w:style w:type="paragraph" w:customStyle="1" w:styleId="avf">
    <w:name w:val="avf"/>
    <w:basedOn w:val="Normal"/>
    <w:pPr>
      <w:spacing w:before="100" w:beforeAutospacing="1" w:after="100" w:afterAutospacing="1"/>
    </w:pPr>
  </w:style>
  <w:style w:type="paragraph" w:customStyle="1" w:styleId="der">
    <w:name w:val="der"/>
    <w:basedOn w:val="Normal"/>
    <w:pPr>
      <w:spacing w:before="100" w:beforeAutospacing="1" w:after="100" w:afterAutospacing="1"/>
    </w:pPr>
  </w:style>
  <w:style w:type="paragraph" w:customStyle="1" w:styleId="ccnoff">
    <w:name w:val="ccnoff"/>
    <w:basedOn w:val="Normal"/>
    <w:pPr>
      <w:spacing w:before="100" w:beforeAutospacing="1" w:after="100" w:afterAutospacing="1"/>
    </w:pPr>
  </w:style>
  <w:style w:type="paragraph" w:customStyle="1" w:styleId="rea">
    <w:name w:val="rea"/>
    <w:basedOn w:val="Normal"/>
    <w:pPr>
      <w:spacing w:before="100" w:beforeAutospacing="1" w:after="100" w:afterAutospacing="1"/>
    </w:pPr>
  </w:style>
  <w:style w:type="paragraph" w:customStyle="1" w:styleId="d1">
    <w:name w:val="d1"/>
    <w:basedOn w:val="Normal"/>
    <w:pPr>
      <w:spacing w:before="100" w:beforeAutospacing="1" w:after="100" w:afterAutospacing="1"/>
    </w:pPr>
  </w:style>
  <w:style w:type="paragraph" w:customStyle="1" w:styleId="dsf">
    <w:name w:val="dsf"/>
    <w:basedOn w:val="Normal"/>
    <w:pPr>
      <w:spacing w:before="100" w:beforeAutospacing="1" w:after="100" w:afterAutospacing="1"/>
    </w:pPr>
  </w:style>
  <w:style w:type="paragraph" w:customStyle="1" w:styleId="h3">
    <w:name w:val="h3"/>
    <w:basedOn w:val="Normal"/>
    <w:pPr>
      <w:spacing w:before="100" w:beforeAutospacing="1" w:after="100" w:afterAutospacing="1"/>
    </w:pPr>
  </w:style>
  <w:style w:type="paragraph" w:customStyle="1" w:styleId="fco">
    <w:name w:val="fco"/>
    <w:basedOn w:val="Normal"/>
    <w:pPr>
      <w:spacing w:before="100" w:beforeAutospacing="1" w:after="100" w:afterAutospacing="1"/>
    </w:pPr>
  </w:style>
  <w:style w:type="paragraph" w:customStyle="1" w:styleId="da">
    <w:name w:val="da"/>
    <w:basedOn w:val="Normal"/>
    <w:pPr>
      <w:spacing w:before="100" w:beforeAutospacing="1" w:after="100" w:afterAutospacing="1"/>
    </w:pPr>
  </w:style>
  <w:style w:type="paragraph" w:customStyle="1" w:styleId="op">
    <w:name w:val="op"/>
    <w:basedOn w:val="Normal"/>
    <w:pPr>
      <w:spacing w:before="100" w:beforeAutospacing="1" w:after="100" w:afterAutospacing="1"/>
    </w:pPr>
  </w:style>
  <w:style w:type="paragraph" w:customStyle="1" w:styleId="cl">
    <w:name w:val="cl"/>
    <w:basedOn w:val="Normal"/>
    <w:pPr>
      <w:spacing w:before="100" w:beforeAutospacing="1" w:after="100" w:afterAutospacing="1"/>
    </w:pPr>
  </w:style>
  <w:style w:type="paragraph" w:customStyle="1" w:styleId="cn">
    <w:name w:val="cn"/>
    <w:basedOn w:val="Normal"/>
    <w:pPr>
      <w:spacing w:before="100" w:beforeAutospacing="1" w:after="100" w:afterAutospacing="1"/>
    </w:pPr>
  </w:style>
  <w:style w:type="paragraph" w:customStyle="1" w:styleId="ad">
    <w:name w:val="ad"/>
    <w:basedOn w:val="Normal"/>
    <w:pPr>
      <w:spacing w:before="100" w:beforeAutospacing="1" w:after="100" w:afterAutospacing="1"/>
    </w:pPr>
  </w:style>
  <w:style w:type="paragraph" w:customStyle="1" w:styleId="aj">
    <w:name w:val="aj"/>
    <w:basedOn w:val="Normal"/>
    <w:pPr>
      <w:spacing w:before="100" w:beforeAutospacing="1" w:after="100" w:afterAutospacing="1"/>
    </w:pPr>
  </w:style>
  <w:style w:type="paragraph" w:customStyle="1" w:styleId="cplus">
    <w:name w:val="cplus"/>
    <w:basedOn w:val="Normal"/>
    <w:pPr>
      <w:spacing w:before="100" w:beforeAutospacing="1" w:after="100" w:afterAutospacing="1"/>
    </w:pPr>
  </w:style>
  <w:style w:type="paragraph" w:customStyle="1" w:styleId="cdes">
    <w:name w:val="cdes"/>
    <w:basedOn w:val="Normal"/>
    <w:pPr>
      <w:spacing w:before="100" w:beforeAutospacing="1" w:after="100" w:afterAutospacing="1"/>
    </w:pPr>
  </w:style>
  <w:style w:type="paragraph" w:customStyle="1" w:styleId="jfav">
    <w:name w:val="jfav"/>
    <w:basedOn w:val="Normal"/>
    <w:pPr>
      <w:spacing w:before="100" w:beforeAutospacing="1" w:after="100" w:afterAutospacing="1"/>
    </w:pPr>
  </w:style>
  <w:style w:type="paragraph" w:customStyle="1" w:styleId="jva">
    <w:name w:val="jva"/>
    <w:basedOn w:val="Normal"/>
    <w:pPr>
      <w:spacing w:before="100" w:beforeAutospacing="1" w:after="100" w:afterAutospacing="1"/>
    </w:pPr>
  </w:style>
  <w:style w:type="paragraph" w:customStyle="1" w:styleId="wk-shortlist-head">
    <w:name w:val="wk-shortlist-head"/>
    <w:basedOn w:val="Normal"/>
    <w:pPr>
      <w:spacing w:before="100" w:beforeAutospacing="1" w:after="100" w:afterAutospacing="1"/>
    </w:pPr>
  </w:style>
  <w:style w:type="paragraph" w:customStyle="1" w:styleId="wk-shortlist-content">
    <w:name w:val="wk-shortlist-content"/>
    <w:basedOn w:val="Normal"/>
    <w:pPr>
      <w:spacing w:before="100" w:beforeAutospacing="1" w:after="100" w:afterAutospacing="1"/>
    </w:pPr>
  </w:style>
  <w:style w:type="paragraph" w:customStyle="1" w:styleId="level1">
    <w:name w:val="level1"/>
    <w:basedOn w:val="Normal"/>
    <w:pPr>
      <w:spacing w:before="100" w:beforeAutospacing="1" w:after="100" w:afterAutospacing="1"/>
    </w:pPr>
  </w:style>
  <w:style w:type="paragraph" w:customStyle="1" w:styleId="h4">
    <w:name w:val="h4"/>
    <w:basedOn w:val="Normal"/>
    <w:pPr>
      <w:spacing w:before="100" w:beforeAutospacing="1" w:after="100" w:afterAutospacing="1"/>
    </w:pPr>
  </w:style>
  <w:style w:type="paragraph" w:customStyle="1" w:styleId="impar">
    <w:name w:val="impar"/>
    <w:basedOn w:val="Normal"/>
    <w:pPr>
      <w:spacing w:before="100" w:beforeAutospacing="1" w:after="100" w:afterAutospacing="1"/>
    </w:pPr>
  </w:style>
  <w:style w:type="paragraph" w:customStyle="1" w:styleId="wk-text-vermas">
    <w:name w:val="wk-text-vermas"/>
    <w:basedOn w:val="Normal"/>
    <w:pPr>
      <w:spacing w:before="100" w:beforeAutospacing="1" w:after="100" w:afterAutospacing="1"/>
    </w:pPr>
  </w:style>
  <w:style w:type="paragraph" w:customStyle="1" w:styleId="wk-icon-vermas">
    <w:name w:val="wk-icon-vermas"/>
    <w:basedOn w:val="Normal"/>
    <w:pPr>
      <w:spacing w:before="100" w:beforeAutospacing="1" w:after="100" w:afterAutospacing="1"/>
    </w:pPr>
  </w:style>
  <w:style w:type="paragraph" w:customStyle="1" w:styleId="listprecepts">
    <w:name w:val="listprecepts"/>
    <w:basedOn w:val="Normal"/>
    <w:pPr>
      <w:spacing w:before="100" w:beforeAutospacing="1" w:after="100" w:afterAutospacing="1"/>
    </w:pPr>
  </w:style>
  <w:style w:type="paragraph" w:customStyle="1" w:styleId="mode-less">
    <w:name w:val="mode-less"/>
    <w:basedOn w:val="Normal"/>
    <w:pPr>
      <w:spacing w:before="100" w:beforeAutospacing="1" w:after="100" w:afterAutospacing="1"/>
    </w:pPr>
  </w:style>
  <w:style w:type="character" w:customStyle="1" w:styleId="checkbox-text">
    <w:name w:val="checkbox-text"/>
    <w:basedOn w:val="Fuentedeprrafopredeter"/>
  </w:style>
  <w:style w:type="character" w:customStyle="1" w:styleId="su">
    <w:name w:val="su"/>
    <w:basedOn w:val="Fuentedeprrafopredeter"/>
  </w:style>
  <w:style w:type="character" w:customStyle="1" w:styleId="titulodocesencial">
    <w:name w:val="titulo_docesencial"/>
    <w:basedOn w:val="Fuentedeprrafopredeter"/>
  </w:style>
  <w:style w:type="character" w:customStyle="1" w:styleId="iniciovigencia">
    <w:name w:val="iniciovigencia"/>
    <w:basedOn w:val="Fuentedeprrafopredeter"/>
  </w:style>
  <w:style w:type="character" w:customStyle="1" w:styleId="headlistprecepts">
    <w:name w:val="headlistprecepts"/>
    <w:basedOn w:val="Fuentedeprrafopredeter"/>
  </w:style>
  <w:style w:type="paragraph" w:customStyle="1" w:styleId="marginlevel11">
    <w:name w:val="marginlevel11"/>
    <w:basedOn w:val="Normal"/>
    <w:pPr>
      <w:spacing w:before="100" w:beforeAutospacing="1" w:after="100" w:afterAutospacing="1"/>
      <w:ind w:left="225"/>
    </w:pPr>
    <w:rPr>
      <w:sz w:val="23"/>
      <w:szCs w:val="23"/>
    </w:rPr>
  </w:style>
  <w:style w:type="paragraph" w:customStyle="1" w:styleId="rgroup1">
    <w:name w:val="rgroup1"/>
    <w:basedOn w:val="Normal"/>
    <w:pPr>
      <w:spacing w:before="100" w:beforeAutospacing="1" w:after="100" w:afterAutospacing="1"/>
    </w:pPr>
    <w:rPr>
      <w:sz w:val="21"/>
      <w:szCs w:val="21"/>
    </w:rPr>
  </w:style>
  <w:style w:type="paragraph" w:customStyle="1" w:styleId="marginlevel12">
    <w:name w:val="marginlevel12"/>
    <w:basedOn w:val="Normal"/>
    <w:pPr>
      <w:spacing w:before="100" w:beforeAutospacing="1" w:after="100" w:afterAutospacing="1"/>
      <w:ind w:left="225"/>
    </w:pPr>
    <w:rPr>
      <w:sz w:val="21"/>
      <w:szCs w:val="21"/>
    </w:rPr>
  </w:style>
  <w:style w:type="paragraph" w:customStyle="1" w:styleId="marginlevel13">
    <w:name w:val="marginlevel13"/>
    <w:basedOn w:val="Normal"/>
    <w:pPr>
      <w:spacing w:before="120" w:after="120"/>
    </w:pPr>
  </w:style>
  <w:style w:type="paragraph" w:customStyle="1" w:styleId="radiogroup-text1">
    <w:name w:val="radiogroup-text1"/>
    <w:basedOn w:val="Normal"/>
    <w:pPr>
      <w:spacing w:before="100" w:beforeAutospacing="1" w:after="100" w:afterAutospacing="1"/>
    </w:pPr>
    <w:rPr>
      <w:vanish/>
      <w:color w:val="FFFFFF"/>
      <w:sz w:val="2"/>
      <w:szCs w:val="2"/>
    </w:rPr>
  </w:style>
  <w:style w:type="character" w:customStyle="1" w:styleId="checkbox-text1">
    <w:name w:val="checkbox-text1"/>
    <w:basedOn w:val="Fuentedeprrafopredeter"/>
    <w:rPr>
      <w:vanish/>
      <w:webHidden w:val="0"/>
      <w:color w:val="FFFFFF"/>
      <w:sz w:val="2"/>
      <w:szCs w:val="2"/>
      <w:specVanish w:val="0"/>
    </w:rPr>
  </w:style>
  <w:style w:type="paragraph" w:customStyle="1" w:styleId="marginlevel14">
    <w:name w:val="marginlevel14"/>
    <w:basedOn w:val="Normal"/>
    <w:pPr>
      <w:spacing w:before="100" w:beforeAutospacing="1" w:after="100" w:afterAutospacing="1"/>
      <w:ind w:left="225"/>
    </w:pPr>
    <w:rPr>
      <w:vanish/>
      <w:color w:val="FFFFFF"/>
      <w:sz w:val="2"/>
      <w:szCs w:val="2"/>
    </w:rPr>
  </w:style>
  <w:style w:type="paragraph" w:customStyle="1" w:styleId="plusminusgroup-text1">
    <w:name w:val="plusminusgroup-text1"/>
    <w:basedOn w:val="Normal"/>
    <w:pPr>
      <w:spacing w:before="100" w:beforeAutospacing="1" w:after="100" w:afterAutospacing="1"/>
    </w:pPr>
    <w:rPr>
      <w:vanish/>
      <w:color w:val="FFFFFF"/>
      <w:sz w:val="2"/>
      <w:szCs w:val="2"/>
    </w:rPr>
  </w:style>
  <w:style w:type="paragraph" w:customStyle="1" w:styleId="marginlevel15">
    <w:name w:val="marginlevel15"/>
    <w:basedOn w:val="Normal"/>
    <w:pPr>
      <w:spacing w:before="120" w:after="120"/>
    </w:pPr>
    <w:rPr>
      <w:sz w:val="21"/>
      <w:szCs w:val="21"/>
    </w:rPr>
  </w:style>
  <w:style w:type="paragraph" w:customStyle="1" w:styleId="container1">
    <w:name w:val="container1"/>
    <w:basedOn w:val="Normal"/>
    <w:pPr>
      <w:spacing w:before="100" w:beforeAutospacing="1" w:after="100" w:afterAutospacing="1"/>
    </w:pPr>
  </w:style>
  <w:style w:type="paragraph" w:customStyle="1" w:styleId="logo1">
    <w:name w:val="logo1"/>
    <w:basedOn w:val="Normal"/>
    <w:pPr>
      <w:spacing w:before="100" w:beforeAutospacing="1" w:after="100" w:afterAutospacing="1"/>
    </w:pPr>
  </w:style>
  <w:style w:type="paragraph" w:customStyle="1" w:styleId="date1">
    <w:name w:val="date1"/>
    <w:basedOn w:val="Normal"/>
    <w:pPr>
      <w:spacing w:before="100" w:beforeAutospacing="1" w:after="100" w:afterAutospacing="1"/>
      <w:jc w:val="right"/>
    </w:pPr>
  </w:style>
  <w:style w:type="paragraph" w:customStyle="1" w:styleId="text1">
    <w:name w:val="text1"/>
    <w:basedOn w:val="Normal"/>
    <w:pPr>
      <w:spacing w:before="600" w:after="100" w:afterAutospacing="1"/>
      <w:jc w:val="right"/>
      <w:textAlignment w:val="center"/>
    </w:pPr>
  </w:style>
  <w:style w:type="paragraph" w:customStyle="1" w:styleId="tableitem1">
    <w:name w:val="tableitem1"/>
    <w:basedOn w:val="Normal"/>
    <w:pPr>
      <w:spacing w:before="375" w:after="375"/>
    </w:pPr>
  </w:style>
  <w:style w:type="paragraph" w:customStyle="1" w:styleId="impar1">
    <w:name w:val="impar1"/>
    <w:basedOn w:val="Normal"/>
    <w:pPr>
      <w:shd w:val="clear" w:color="auto" w:fill="F3F3F3"/>
      <w:spacing w:before="100" w:beforeAutospacing="1" w:after="100" w:afterAutospacing="1"/>
    </w:pPr>
  </w:style>
  <w:style w:type="paragraph" w:customStyle="1" w:styleId="container2">
    <w:name w:val="container2"/>
    <w:basedOn w:val="Normal"/>
    <w:pPr>
      <w:spacing w:before="100" w:beforeAutospacing="1" w:after="100" w:afterAutospacing="1"/>
    </w:pPr>
  </w:style>
  <w:style w:type="paragraph" w:customStyle="1" w:styleId="legaltexttd1">
    <w:name w:val="legaltexttd1"/>
    <w:basedOn w:val="Normal"/>
    <w:pPr>
      <w:spacing w:before="100" w:beforeAutospacing="1" w:after="100" w:afterAutospacing="1"/>
    </w:pPr>
  </w:style>
  <w:style w:type="paragraph" w:customStyle="1" w:styleId="legaltext1">
    <w:name w:val="legaltext1"/>
    <w:basedOn w:val="Normal"/>
    <w:pPr>
      <w:spacing w:before="100" w:beforeAutospacing="1" w:after="100" w:afterAutospacing="1"/>
      <w:textAlignment w:val="center"/>
    </w:pPr>
  </w:style>
  <w:style w:type="paragraph" w:customStyle="1" w:styleId="pagesnumbertd1">
    <w:name w:val="pagesnumbertd1"/>
    <w:basedOn w:val="Normal"/>
    <w:pPr>
      <w:spacing w:before="75"/>
      <w:ind w:right="150"/>
    </w:pPr>
  </w:style>
  <w:style w:type="paragraph" w:customStyle="1" w:styleId="pagesnumber1">
    <w:name w:val="pagesnumber1"/>
    <w:basedOn w:val="Normal"/>
    <w:pPr>
      <w:spacing w:before="100" w:beforeAutospacing="1" w:after="100" w:afterAutospacing="1"/>
      <w:jc w:val="right"/>
      <w:textAlignment w:val="center"/>
    </w:pPr>
  </w:style>
  <w:style w:type="paragraph" w:customStyle="1" w:styleId="cl1">
    <w:name w:val="cl1"/>
    <w:basedOn w:val="Normal"/>
    <w:pPr>
      <w:spacing w:before="100" w:beforeAutospacing="1" w:after="100" w:afterAutospacing="1"/>
    </w:pPr>
  </w:style>
  <w:style w:type="paragraph" w:customStyle="1" w:styleId="ldf1">
    <w:name w:val="ldf1"/>
    <w:basedOn w:val="Normal"/>
    <w:pPr>
      <w:spacing w:before="100" w:beforeAutospacing="1" w:after="100" w:afterAutospacing="1"/>
    </w:pPr>
    <w:rPr>
      <w:vanish/>
    </w:rPr>
  </w:style>
  <w:style w:type="paragraph" w:customStyle="1" w:styleId="ldr1">
    <w:name w:val="ldr1"/>
    <w:basedOn w:val="Normal"/>
    <w:pPr>
      <w:pBdr>
        <w:top w:val="single" w:sz="6" w:space="6" w:color="CC0000"/>
        <w:left w:val="single" w:sz="6" w:space="6" w:color="CC0000"/>
        <w:bottom w:val="single" w:sz="6" w:space="6" w:color="CC0000"/>
        <w:right w:val="single" w:sz="6" w:space="6" w:color="CC0000"/>
      </w:pBdr>
      <w:shd w:val="clear" w:color="auto" w:fill="CC0000"/>
      <w:spacing w:before="100" w:beforeAutospacing="1" w:after="100" w:afterAutospacing="1"/>
      <w:jc w:val="center"/>
    </w:pPr>
    <w:rPr>
      <w:b/>
      <w:bCs/>
      <w:color w:val="FFFFFF"/>
    </w:rPr>
  </w:style>
  <w:style w:type="paragraph" w:customStyle="1" w:styleId="ltp1">
    <w:name w:val="ltp1"/>
    <w:basedOn w:val="Normal"/>
    <w:pPr>
      <w:pBdr>
        <w:top w:val="single" w:sz="6" w:space="6" w:color="696969"/>
        <w:left w:val="single" w:sz="6" w:space="6" w:color="696969"/>
        <w:bottom w:val="single" w:sz="6" w:space="6" w:color="696969"/>
        <w:right w:val="single" w:sz="6" w:space="6" w:color="696969"/>
      </w:pBdr>
      <w:shd w:val="clear" w:color="auto" w:fill="696969"/>
      <w:spacing w:before="100" w:beforeAutospacing="1" w:after="100" w:afterAutospacing="1"/>
      <w:jc w:val="center"/>
    </w:pPr>
    <w:rPr>
      <w:b/>
      <w:bCs/>
      <w:color w:val="FFFFFF"/>
    </w:rPr>
  </w:style>
  <w:style w:type="paragraph" w:customStyle="1" w:styleId="pau1">
    <w:name w:val="pau1"/>
    <w:basedOn w:val="Normal"/>
    <w:pPr>
      <w:spacing w:before="240" w:after="100" w:afterAutospacing="1"/>
      <w:jc w:val="center"/>
    </w:pPr>
    <w:rPr>
      <w:b/>
      <w:bCs/>
      <w:color w:val="9F2943"/>
    </w:rPr>
  </w:style>
  <w:style w:type="paragraph" w:customStyle="1" w:styleId="ppr1">
    <w:name w:val="ppr1"/>
    <w:basedOn w:val="Normal"/>
    <w:pPr>
      <w:spacing w:before="100" w:beforeAutospacing="1" w:after="100" w:afterAutospacing="1"/>
      <w:jc w:val="center"/>
    </w:pPr>
    <w:rPr>
      <w:color w:val="333333"/>
    </w:rPr>
  </w:style>
  <w:style w:type="paragraph" w:customStyle="1" w:styleId="pof1">
    <w:name w:val="pof1"/>
    <w:basedOn w:val="Normal"/>
    <w:pPr>
      <w:spacing w:before="120" w:after="100" w:afterAutospacing="1"/>
      <w:jc w:val="center"/>
    </w:pPr>
  </w:style>
  <w:style w:type="paragraph" w:customStyle="1" w:styleId="pex1">
    <w:name w:val="pex1"/>
    <w:basedOn w:val="Normal"/>
    <w:pPr>
      <w:spacing w:before="100" w:beforeAutospacing="1" w:after="100" w:afterAutospacing="1"/>
      <w:jc w:val="center"/>
    </w:pPr>
    <w:rPr>
      <w:color w:val="333333"/>
    </w:rPr>
  </w:style>
  <w:style w:type="paragraph" w:customStyle="1" w:styleId="jpte1">
    <w:name w:val="jpte1"/>
    <w:basedOn w:val="Normal"/>
    <w:pPr>
      <w:spacing w:before="150" w:after="100" w:afterAutospacing="1"/>
    </w:pPr>
    <w:rPr>
      <w:color w:val="9F2943"/>
    </w:rPr>
  </w:style>
  <w:style w:type="paragraph" w:customStyle="1" w:styleId="cdin1">
    <w:name w:val="cdin1"/>
    <w:basedOn w:val="Normal"/>
    <w:pPr>
      <w:spacing w:before="100" w:beforeAutospacing="1" w:after="100" w:afterAutospacing="1"/>
      <w:jc w:val="right"/>
    </w:pPr>
    <w:rPr>
      <w:b/>
      <w:bCs/>
      <w:color w:val="9F2943"/>
    </w:rPr>
  </w:style>
  <w:style w:type="paragraph" w:customStyle="1" w:styleId="jcon1">
    <w:name w:val="jcon1"/>
    <w:basedOn w:val="Normal"/>
    <w:pPr>
      <w:spacing w:before="100" w:beforeAutospacing="1" w:after="100" w:afterAutospacing="1"/>
      <w:jc w:val="center"/>
    </w:pPr>
    <w:rPr>
      <w:b/>
      <w:bCs/>
      <w:color w:val="9F2943"/>
      <w:sz w:val="21"/>
      <w:szCs w:val="21"/>
    </w:rPr>
  </w:style>
  <w:style w:type="paragraph" w:customStyle="1" w:styleId="pau2">
    <w:name w:val="pau2"/>
    <w:basedOn w:val="Normal"/>
    <w:pPr>
      <w:spacing w:before="100" w:beforeAutospacing="1" w:after="100" w:afterAutospacing="1"/>
    </w:pPr>
    <w:rPr>
      <w:b/>
      <w:bCs/>
      <w:color w:val="333333"/>
    </w:rPr>
  </w:style>
  <w:style w:type="paragraph" w:customStyle="1" w:styleId="ppr2">
    <w:name w:val="ppr2"/>
    <w:basedOn w:val="Normal"/>
    <w:pPr>
      <w:spacing w:before="100" w:beforeAutospacing="1" w:after="100" w:afterAutospacing="1"/>
    </w:pPr>
    <w:rPr>
      <w:i/>
      <w:iCs/>
      <w:color w:val="333333"/>
    </w:rPr>
  </w:style>
  <w:style w:type="paragraph" w:customStyle="1" w:styleId="ctd1">
    <w:name w:val="ctd1"/>
    <w:basedOn w:val="Normal"/>
    <w:pPr>
      <w:pBdr>
        <w:top w:val="single" w:sz="6" w:space="12" w:color="696969"/>
        <w:left w:val="single" w:sz="6" w:space="12" w:color="696969"/>
        <w:bottom w:val="single" w:sz="6" w:space="12" w:color="696969"/>
        <w:right w:val="single" w:sz="6" w:space="12" w:color="696969"/>
      </w:pBdr>
      <w:shd w:val="clear" w:color="auto" w:fill="F2F2F2"/>
      <w:spacing w:before="480" w:after="480"/>
      <w:ind w:left="480" w:right="480"/>
    </w:pPr>
    <w:rPr>
      <w:color w:val="333333"/>
    </w:rPr>
  </w:style>
  <w:style w:type="paragraph" w:customStyle="1" w:styleId="jta1">
    <w:name w:val="jta1"/>
    <w:basedOn w:val="Normal"/>
    <w:pPr>
      <w:spacing w:before="100" w:beforeAutospacing="1" w:after="100" w:afterAutospacing="1"/>
    </w:pPr>
    <w:rPr>
      <w:color w:val="333333"/>
    </w:rPr>
  </w:style>
  <w:style w:type="paragraph" w:customStyle="1" w:styleId="jcj1">
    <w:name w:val="jcj1"/>
    <w:basedOn w:val="Normal"/>
    <w:pPr>
      <w:pBdr>
        <w:top w:val="single" w:sz="6" w:space="18" w:color="696969"/>
        <w:left w:val="single" w:sz="6" w:space="18" w:color="696969"/>
        <w:bottom w:val="single" w:sz="6" w:space="18" w:color="696969"/>
        <w:right w:val="single" w:sz="6" w:space="18" w:color="696969"/>
      </w:pBdr>
      <w:shd w:val="clear" w:color="auto" w:fill="F2F2F2"/>
      <w:spacing w:before="480" w:after="480" w:line="384" w:lineRule="atLeast"/>
      <w:ind w:left="480" w:right="480"/>
      <w:jc w:val="both"/>
    </w:pPr>
    <w:rPr>
      <w:color w:val="333333"/>
      <w:sz w:val="22"/>
      <w:szCs w:val="22"/>
    </w:rPr>
  </w:style>
  <w:style w:type="paragraph" w:customStyle="1" w:styleId="jre1">
    <w:name w:val="jre1"/>
    <w:basedOn w:val="Normal"/>
    <w:pPr>
      <w:pBdr>
        <w:top w:val="single" w:sz="6" w:space="18" w:color="696969"/>
        <w:left w:val="single" w:sz="6" w:space="18" w:color="696969"/>
        <w:bottom w:val="single" w:sz="6" w:space="18" w:color="696969"/>
        <w:right w:val="single" w:sz="6" w:space="18" w:color="696969"/>
      </w:pBdr>
      <w:shd w:val="clear" w:color="auto" w:fill="F2F2F2"/>
      <w:spacing w:before="480" w:after="480" w:line="384" w:lineRule="atLeast"/>
      <w:ind w:left="480" w:right="480"/>
      <w:jc w:val="both"/>
    </w:pPr>
    <w:rPr>
      <w:color w:val="333333"/>
    </w:rPr>
  </w:style>
  <w:style w:type="paragraph" w:customStyle="1" w:styleId="cre1">
    <w:name w:val="cre1"/>
    <w:basedOn w:val="Normal"/>
    <w:pPr>
      <w:pBdr>
        <w:top w:val="single" w:sz="6" w:space="18" w:color="696969"/>
        <w:left w:val="single" w:sz="6" w:space="18" w:color="696969"/>
        <w:bottom w:val="single" w:sz="6" w:space="18" w:color="696969"/>
        <w:right w:val="single" w:sz="6" w:space="18" w:color="696969"/>
      </w:pBdr>
      <w:shd w:val="clear" w:color="auto" w:fill="F2F2F2"/>
      <w:spacing w:before="480" w:after="480" w:line="384" w:lineRule="atLeast"/>
      <w:ind w:left="480" w:right="480"/>
      <w:jc w:val="both"/>
    </w:pPr>
    <w:rPr>
      <w:color w:val="333333"/>
    </w:rPr>
  </w:style>
  <w:style w:type="paragraph" w:customStyle="1" w:styleId="fab1">
    <w:name w:val="fab1"/>
    <w:basedOn w:val="Normal"/>
    <w:pPr>
      <w:pBdr>
        <w:top w:val="single" w:sz="6" w:space="18" w:color="696969"/>
        <w:left w:val="single" w:sz="6" w:space="18" w:color="696969"/>
        <w:bottom w:val="single" w:sz="6" w:space="18" w:color="696969"/>
        <w:right w:val="single" w:sz="6" w:space="18" w:color="696969"/>
      </w:pBdr>
      <w:shd w:val="clear" w:color="auto" w:fill="F2F2F2"/>
      <w:spacing w:before="480" w:after="480" w:line="384" w:lineRule="atLeast"/>
      <w:ind w:left="480" w:right="480"/>
      <w:jc w:val="both"/>
    </w:pPr>
    <w:rPr>
      <w:color w:val="333333"/>
    </w:rPr>
  </w:style>
  <w:style w:type="paragraph" w:customStyle="1" w:styleId="dab1">
    <w:name w:val="dab1"/>
    <w:basedOn w:val="Normal"/>
    <w:pPr>
      <w:pBdr>
        <w:top w:val="single" w:sz="6" w:space="18" w:color="696969"/>
        <w:left w:val="single" w:sz="6" w:space="18" w:color="696969"/>
        <w:bottom w:val="single" w:sz="6" w:space="18" w:color="696969"/>
        <w:right w:val="single" w:sz="6" w:space="18" w:color="696969"/>
      </w:pBdr>
      <w:shd w:val="clear" w:color="auto" w:fill="F2F2F2"/>
      <w:spacing w:before="480" w:after="480" w:line="384" w:lineRule="atLeast"/>
      <w:ind w:left="480" w:right="480"/>
      <w:jc w:val="both"/>
    </w:pPr>
    <w:rPr>
      <w:color w:val="333333"/>
    </w:rPr>
  </w:style>
  <w:style w:type="paragraph" w:customStyle="1" w:styleId="ccn1">
    <w:name w:val="ccn1"/>
    <w:basedOn w:val="Normal"/>
    <w:pPr>
      <w:shd w:val="clear" w:color="auto" w:fill="DBDBDB"/>
      <w:spacing w:before="120" w:after="120"/>
    </w:pPr>
  </w:style>
  <w:style w:type="paragraph" w:customStyle="1" w:styleId="av1">
    <w:name w:val="av1"/>
    <w:basedOn w:val="Normal"/>
    <w:pPr>
      <w:pBdr>
        <w:top w:val="single" w:sz="6" w:space="0" w:color="646464"/>
        <w:left w:val="single" w:sz="6" w:space="0" w:color="646464"/>
        <w:bottom w:val="single" w:sz="6" w:space="0" w:color="646464"/>
        <w:right w:val="single" w:sz="6" w:space="0" w:color="646464"/>
      </w:pBdr>
      <w:shd w:val="clear" w:color="auto" w:fill="F4F4F4"/>
      <w:spacing w:before="120" w:after="120"/>
    </w:pPr>
    <w:rPr>
      <w:color w:val="646464"/>
    </w:rPr>
  </w:style>
  <w:style w:type="paragraph" w:customStyle="1" w:styleId="avf1">
    <w:name w:val="avf1"/>
    <w:basedOn w:val="Normal"/>
    <w:pPr>
      <w:pBdr>
        <w:top w:val="single" w:sz="6" w:space="0" w:color="606060"/>
        <w:left w:val="single" w:sz="6" w:space="0" w:color="606060"/>
        <w:bottom w:val="single" w:sz="6" w:space="0" w:color="606060"/>
        <w:right w:val="single" w:sz="6" w:space="0" w:color="606060"/>
      </w:pBdr>
      <w:shd w:val="clear" w:color="auto" w:fill="F0F0F0"/>
      <w:spacing w:before="120" w:after="120"/>
    </w:pPr>
    <w:rPr>
      <w:color w:val="606060"/>
    </w:rPr>
  </w:style>
  <w:style w:type="paragraph" w:customStyle="1" w:styleId="der1">
    <w:name w:val="der1"/>
    <w:basedOn w:val="Normal"/>
    <w:pPr>
      <w:pBdr>
        <w:top w:val="single" w:sz="6" w:space="0" w:color="CC0000"/>
        <w:left w:val="single" w:sz="6" w:space="0" w:color="CC0000"/>
        <w:bottom w:val="single" w:sz="6" w:space="0" w:color="CC0000"/>
        <w:right w:val="single" w:sz="6" w:space="0" w:color="CC0000"/>
      </w:pBdr>
      <w:shd w:val="clear" w:color="auto" w:fill="FFFEFE"/>
      <w:spacing w:before="120" w:after="120"/>
    </w:pPr>
    <w:rPr>
      <w:color w:val="CC0000"/>
    </w:rPr>
  </w:style>
  <w:style w:type="paragraph" w:customStyle="1" w:styleId="ccnoff1">
    <w:name w:val="ccnoff1"/>
    <w:basedOn w:val="Normal"/>
    <w:pPr>
      <w:spacing w:before="120" w:after="120"/>
    </w:pPr>
    <w:rPr>
      <w:vanish/>
    </w:rPr>
  </w:style>
  <w:style w:type="paragraph" w:customStyle="1" w:styleId="rea1">
    <w:name w:val="rea1"/>
    <w:basedOn w:val="Normal"/>
    <w:pPr>
      <w:ind w:right="120"/>
    </w:pPr>
    <w:rPr>
      <w:color w:val="555555"/>
      <w:sz w:val="22"/>
      <w:szCs w:val="22"/>
    </w:rPr>
  </w:style>
  <w:style w:type="paragraph" w:customStyle="1" w:styleId="ctit1">
    <w:name w:val="ctit1"/>
    <w:basedOn w:val="Normal"/>
    <w:pPr>
      <w:spacing w:before="120" w:after="120"/>
      <w:jc w:val="center"/>
    </w:pPr>
    <w:rPr>
      <w:b/>
      <w:bCs/>
      <w:color w:val="9F2943"/>
      <w:sz w:val="26"/>
      <w:szCs w:val="26"/>
    </w:rPr>
  </w:style>
  <w:style w:type="character" w:customStyle="1" w:styleId="su1">
    <w:name w:val="su1"/>
    <w:basedOn w:val="Fuentedeprrafopredeter"/>
    <w:rPr>
      <w:sz w:val="21"/>
      <w:szCs w:val="21"/>
      <w:u w:val="single"/>
    </w:rPr>
  </w:style>
  <w:style w:type="paragraph" w:customStyle="1" w:styleId="d11">
    <w:name w:val="d11"/>
    <w:basedOn w:val="Normal"/>
    <w:pPr>
      <w:spacing w:before="120" w:after="120"/>
      <w:jc w:val="center"/>
    </w:pPr>
    <w:rPr>
      <w:b/>
      <w:bCs/>
      <w:color w:val="9F2943"/>
    </w:rPr>
  </w:style>
  <w:style w:type="paragraph" w:customStyle="1" w:styleId="d21">
    <w:name w:val="d21"/>
    <w:basedOn w:val="Normal"/>
    <w:pPr>
      <w:spacing w:before="120" w:after="120"/>
      <w:jc w:val="center"/>
    </w:pPr>
    <w:rPr>
      <w:b/>
      <w:bCs/>
      <w:color w:val="9F2943"/>
      <w:sz w:val="26"/>
      <w:szCs w:val="26"/>
    </w:rPr>
  </w:style>
  <w:style w:type="paragraph" w:customStyle="1" w:styleId="d31">
    <w:name w:val="d31"/>
    <w:basedOn w:val="Normal"/>
    <w:pPr>
      <w:spacing w:before="120" w:after="120"/>
      <w:jc w:val="center"/>
    </w:pPr>
    <w:rPr>
      <w:b/>
      <w:bCs/>
      <w:color w:val="9F2943"/>
    </w:rPr>
  </w:style>
  <w:style w:type="paragraph" w:customStyle="1" w:styleId="d41">
    <w:name w:val="d41"/>
    <w:basedOn w:val="Normal"/>
    <w:pPr>
      <w:spacing w:before="120" w:after="120"/>
      <w:jc w:val="center"/>
    </w:pPr>
    <w:rPr>
      <w:b/>
      <w:bCs/>
      <w:color w:val="9F2943"/>
      <w:sz w:val="22"/>
      <w:szCs w:val="22"/>
    </w:rPr>
  </w:style>
  <w:style w:type="paragraph" w:customStyle="1" w:styleId="d51">
    <w:name w:val="d51"/>
    <w:basedOn w:val="Normal"/>
    <w:pPr>
      <w:spacing w:before="120" w:after="120"/>
      <w:jc w:val="center"/>
    </w:pPr>
    <w:rPr>
      <w:b/>
      <w:bCs/>
      <w:color w:val="9F2943"/>
      <w:sz w:val="19"/>
      <w:szCs w:val="19"/>
    </w:rPr>
  </w:style>
  <w:style w:type="paragraph" w:customStyle="1" w:styleId="d61">
    <w:name w:val="d61"/>
    <w:basedOn w:val="Normal"/>
    <w:pPr>
      <w:spacing w:before="120" w:after="120"/>
      <w:jc w:val="center"/>
    </w:pPr>
    <w:rPr>
      <w:b/>
      <w:bCs/>
      <w:color w:val="9F2943"/>
      <w:sz w:val="19"/>
      <w:szCs w:val="19"/>
    </w:rPr>
  </w:style>
  <w:style w:type="paragraph" w:customStyle="1" w:styleId="d71">
    <w:name w:val="d71"/>
    <w:basedOn w:val="Normal"/>
    <w:pPr>
      <w:spacing w:before="120" w:after="120"/>
      <w:jc w:val="center"/>
    </w:pPr>
    <w:rPr>
      <w:b/>
      <w:bCs/>
      <w:color w:val="9F2943"/>
      <w:sz w:val="19"/>
      <w:szCs w:val="19"/>
    </w:rPr>
  </w:style>
  <w:style w:type="paragraph" w:customStyle="1" w:styleId="fau1">
    <w:name w:val="fau1"/>
    <w:basedOn w:val="Normal"/>
    <w:pPr>
      <w:spacing w:before="120" w:after="120"/>
      <w:jc w:val="center"/>
    </w:pPr>
    <w:rPr>
      <w:b/>
      <w:bCs/>
      <w:color w:val="636363"/>
    </w:rPr>
  </w:style>
  <w:style w:type="paragraph" w:customStyle="1" w:styleId="a1">
    <w:name w:val="a1"/>
    <w:basedOn w:val="Normal"/>
    <w:pPr>
      <w:spacing w:before="360" w:after="120"/>
    </w:pPr>
  </w:style>
  <w:style w:type="paragraph" w:customStyle="1" w:styleId="d22">
    <w:name w:val="d22"/>
    <w:basedOn w:val="Normal"/>
    <w:pPr>
      <w:spacing w:before="120" w:after="120"/>
    </w:pPr>
    <w:rPr>
      <w:b/>
      <w:bCs/>
      <w:color w:val="9F2943"/>
    </w:rPr>
  </w:style>
  <w:style w:type="paragraph" w:customStyle="1" w:styleId="d32">
    <w:name w:val="d32"/>
    <w:basedOn w:val="Normal"/>
    <w:pPr>
      <w:spacing w:before="120" w:after="120"/>
    </w:pPr>
    <w:rPr>
      <w:b/>
      <w:bCs/>
      <w:color w:val="9F2943"/>
    </w:rPr>
  </w:style>
  <w:style w:type="paragraph" w:customStyle="1" w:styleId="d42">
    <w:name w:val="d42"/>
    <w:basedOn w:val="Normal"/>
    <w:pPr>
      <w:spacing w:before="120" w:after="120"/>
    </w:pPr>
    <w:rPr>
      <w:b/>
      <w:bCs/>
      <w:color w:val="9F2943"/>
    </w:rPr>
  </w:style>
  <w:style w:type="paragraph" w:customStyle="1" w:styleId="d52">
    <w:name w:val="d52"/>
    <w:basedOn w:val="Normal"/>
    <w:pPr>
      <w:spacing w:before="120" w:after="120"/>
    </w:pPr>
    <w:rPr>
      <w:b/>
      <w:bCs/>
      <w:color w:val="9F2943"/>
    </w:rPr>
  </w:style>
  <w:style w:type="paragraph" w:customStyle="1" w:styleId="d62">
    <w:name w:val="d62"/>
    <w:basedOn w:val="Normal"/>
    <w:pPr>
      <w:spacing w:before="120" w:after="120"/>
    </w:pPr>
    <w:rPr>
      <w:b/>
      <w:bCs/>
      <w:color w:val="9F2943"/>
    </w:rPr>
  </w:style>
  <w:style w:type="paragraph" w:customStyle="1" w:styleId="d72">
    <w:name w:val="d72"/>
    <w:basedOn w:val="Normal"/>
    <w:pPr>
      <w:spacing w:before="120" w:after="120"/>
    </w:pPr>
    <w:rPr>
      <w:b/>
      <w:bCs/>
      <w:color w:val="9F2943"/>
    </w:rPr>
  </w:style>
  <w:style w:type="paragraph" w:customStyle="1" w:styleId="lca1">
    <w:name w:val="lca1"/>
    <w:basedOn w:val="Normal"/>
  </w:style>
  <w:style w:type="paragraph" w:customStyle="1" w:styleId="lfe1">
    <w:name w:val="lfe1"/>
    <w:basedOn w:val="Normal"/>
  </w:style>
  <w:style w:type="paragraph" w:customStyle="1" w:styleId="lin1">
    <w:name w:val="lin1"/>
    <w:basedOn w:val="Normal"/>
  </w:style>
  <w:style w:type="paragraph" w:customStyle="1" w:styleId="llu1">
    <w:name w:val="llu1"/>
    <w:basedOn w:val="Normal"/>
  </w:style>
  <w:style w:type="paragraph" w:customStyle="1" w:styleId="lnm1">
    <w:name w:val="lnm1"/>
    <w:basedOn w:val="Normal"/>
  </w:style>
  <w:style w:type="paragraph" w:customStyle="1" w:styleId="lps1">
    <w:name w:val="lps1"/>
    <w:basedOn w:val="Normal"/>
  </w:style>
  <w:style w:type="paragraph" w:customStyle="1" w:styleId="dsf1">
    <w:name w:val="dsf1"/>
    <w:basedOn w:val="Normal"/>
    <w:pPr>
      <w:spacing w:before="240" w:after="100" w:afterAutospacing="1"/>
    </w:pPr>
  </w:style>
  <w:style w:type="paragraph" w:customStyle="1" w:styleId="h31">
    <w:name w:val="h31"/>
    <w:basedOn w:val="Normal"/>
    <w:pPr>
      <w:pBdr>
        <w:top w:val="single" w:sz="6" w:space="6" w:color="DADADA"/>
        <w:left w:val="single" w:sz="6" w:space="12" w:color="DADADA"/>
        <w:bottom w:val="single" w:sz="6" w:space="6" w:color="DADADA"/>
        <w:right w:val="single" w:sz="6" w:space="12" w:color="DADADA"/>
      </w:pBdr>
      <w:shd w:val="clear" w:color="auto" w:fill="EDEDED"/>
      <w:spacing w:before="100" w:beforeAutospacing="1" w:after="100" w:afterAutospacing="1"/>
    </w:pPr>
  </w:style>
  <w:style w:type="paragraph" w:customStyle="1" w:styleId="fco1">
    <w:name w:val="fco1"/>
    <w:basedOn w:val="Normal"/>
    <w:pPr>
      <w:pBdr>
        <w:top w:val="single" w:sz="6" w:space="12" w:color="9F2943"/>
        <w:left w:val="single" w:sz="6" w:space="12" w:color="9F2943"/>
        <w:bottom w:val="single" w:sz="6" w:space="12" w:color="9F2943"/>
        <w:right w:val="single" w:sz="6" w:space="12" w:color="9F2943"/>
      </w:pBdr>
      <w:spacing w:before="240" w:after="100" w:afterAutospacing="1"/>
    </w:pPr>
  </w:style>
  <w:style w:type="paragraph" w:customStyle="1" w:styleId="da1">
    <w:name w:val="da1"/>
    <w:basedOn w:val="Normal"/>
    <w:pPr>
      <w:spacing w:before="240" w:after="100" w:afterAutospacing="1"/>
    </w:pPr>
  </w:style>
  <w:style w:type="paragraph" w:customStyle="1" w:styleId="op1">
    <w:name w:val="op1"/>
    <w:basedOn w:val="Normal"/>
    <w:pPr>
      <w:spacing w:before="100" w:beforeAutospacing="1" w:after="100" w:afterAutospacing="1"/>
    </w:pPr>
  </w:style>
  <w:style w:type="paragraph" w:customStyle="1" w:styleId="op2">
    <w:name w:val="op2"/>
    <w:basedOn w:val="Normal"/>
    <w:pPr>
      <w:spacing w:before="100" w:beforeAutospacing="1" w:after="100" w:afterAutospacing="1"/>
    </w:pPr>
  </w:style>
  <w:style w:type="paragraph" w:customStyle="1" w:styleId="cl2">
    <w:name w:val="cl2"/>
    <w:basedOn w:val="Normal"/>
    <w:pPr>
      <w:spacing w:before="100" w:beforeAutospacing="1" w:after="100" w:afterAutospacing="1"/>
    </w:pPr>
  </w:style>
  <w:style w:type="paragraph" w:customStyle="1" w:styleId="cn1">
    <w:name w:val="cn1"/>
    <w:basedOn w:val="Normal"/>
    <w:pPr>
      <w:spacing w:before="100" w:beforeAutospacing="1" w:after="100" w:afterAutospacing="1"/>
      <w:jc w:val="center"/>
    </w:pPr>
    <w:rPr>
      <w:b/>
      <w:bCs/>
      <w:color w:val="9F2943"/>
    </w:rPr>
  </w:style>
  <w:style w:type="paragraph" w:customStyle="1" w:styleId="cn2">
    <w:name w:val="cn2"/>
    <w:basedOn w:val="Normal"/>
    <w:pPr>
      <w:spacing w:before="100" w:beforeAutospacing="1" w:after="100" w:afterAutospacing="1"/>
      <w:jc w:val="center"/>
    </w:pPr>
    <w:rPr>
      <w:b/>
      <w:bCs/>
      <w:color w:val="9F2943"/>
    </w:rPr>
  </w:style>
  <w:style w:type="paragraph" w:customStyle="1" w:styleId="ai1">
    <w:name w:val="ai1"/>
    <w:basedOn w:val="Normal"/>
    <w:pPr>
      <w:spacing w:before="100" w:beforeAutospacing="1" w:after="100" w:afterAutospacing="1"/>
    </w:pPr>
  </w:style>
  <w:style w:type="paragraph" w:customStyle="1" w:styleId="ai2">
    <w:name w:val="ai2"/>
    <w:basedOn w:val="Normal"/>
    <w:pPr>
      <w:spacing w:before="100" w:beforeAutospacing="1" w:after="100" w:afterAutospacing="1"/>
    </w:pPr>
  </w:style>
  <w:style w:type="paragraph" w:customStyle="1" w:styleId="ad1">
    <w:name w:val="ad1"/>
    <w:basedOn w:val="Normal"/>
    <w:pPr>
      <w:spacing w:before="100" w:beforeAutospacing="1" w:after="100" w:afterAutospacing="1"/>
      <w:jc w:val="right"/>
    </w:pPr>
  </w:style>
  <w:style w:type="paragraph" w:customStyle="1" w:styleId="ad2">
    <w:name w:val="ad2"/>
    <w:basedOn w:val="Normal"/>
    <w:pPr>
      <w:spacing w:before="100" w:beforeAutospacing="1" w:after="100" w:afterAutospacing="1"/>
      <w:jc w:val="right"/>
    </w:pPr>
  </w:style>
  <w:style w:type="paragraph" w:customStyle="1" w:styleId="ac1">
    <w:name w:val="ac1"/>
    <w:basedOn w:val="Normal"/>
    <w:pPr>
      <w:spacing w:before="100" w:beforeAutospacing="1" w:after="100" w:afterAutospacing="1"/>
      <w:jc w:val="center"/>
    </w:pPr>
    <w:rPr>
      <w:b/>
      <w:bCs/>
    </w:rPr>
  </w:style>
  <w:style w:type="paragraph" w:customStyle="1" w:styleId="ac2">
    <w:name w:val="ac2"/>
    <w:basedOn w:val="Normal"/>
    <w:pPr>
      <w:spacing w:before="100" w:beforeAutospacing="1" w:after="100" w:afterAutospacing="1"/>
      <w:jc w:val="center"/>
    </w:pPr>
    <w:rPr>
      <w:b/>
      <w:bCs/>
    </w:rPr>
  </w:style>
  <w:style w:type="paragraph" w:customStyle="1" w:styleId="aj1">
    <w:name w:val="aj1"/>
    <w:basedOn w:val="Normal"/>
    <w:pPr>
      <w:spacing w:before="100" w:beforeAutospacing="1" w:after="100" w:afterAutospacing="1"/>
      <w:jc w:val="both"/>
    </w:pPr>
  </w:style>
  <w:style w:type="paragraph" w:customStyle="1" w:styleId="aj2">
    <w:name w:val="aj2"/>
    <w:basedOn w:val="Normal"/>
    <w:pPr>
      <w:spacing w:before="100" w:beforeAutospacing="1" w:after="100" w:afterAutospacing="1"/>
      <w:jc w:val="both"/>
    </w:pPr>
  </w:style>
  <w:style w:type="paragraph" w:customStyle="1" w:styleId="dfr1">
    <w:name w:val="dfr1"/>
    <w:basedOn w:val="Normal"/>
    <w:pPr>
      <w:pBdr>
        <w:top w:val="single" w:sz="6" w:space="12" w:color="696969"/>
        <w:left w:val="single" w:sz="6" w:space="12" w:color="696969"/>
        <w:bottom w:val="single" w:sz="6" w:space="12" w:color="696969"/>
        <w:right w:val="single" w:sz="6" w:space="12" w:color="696969"/>
      </w:pBdr>
      <w:shd w:val="clear" w:color="auto" w:fill="F2F2F2"/>
      <w:spacing w:before="100" w:beforeAutospacing="1" w:after="100" w:afterAutospacing="1"/>
    </w:pPr>
    <w:rPr>
      <w:u w:val="single"/>
    </w:rPr>
  </w:style>
  <w:style w:type="paragraph" w:customStyle="1" w:styleId="dfr2">
    <w:name w:val="dfr2"/>
    <w:basedOn w:val="Normal"/>
    <w:pPr>
      <w:pBdr>
        <w:top w:val="single" w:sz="6" w:space="12" w:color="696969"/>
        <w:left w:val="single" w:sz="6" w:space="12" w:color="696969"/>
        <w:bottom w:val="single" w:sz="6" w:space="12" w:color="696969"/>
        <w:right w:val="single" w:sz="6" w:space="12" w:color="696969"/>
      </w:pBdr>
      <w:shd w:val="clear" w:color="auto" w:fill="F2F2F2"/>
      <w:spacing w:before="100" w:beforeAutospacing="1" w:after="100" w:afterAutospacing="1"/>
    </w:pPr>
    <w:rPr>
      <w:u w:val="single"/>
    </w:rPr>
  </w:style>
  <w:style w:type="paragraph" w:customStyle="1" w:styleId="titulo1">
    <w:name w:val="titulo1"/>
    <w:basedOn w:val="Normal"/>
    <w:pPr>
      <w:spacing w:before="150" w:after="150"/>
      <w:ind w:left="-225" w:right="-225"/>
    </w:pPr>
    <w:rPr>
      <w:b/>
      <w:bCs/>
    </w:rPr>
  </w:style>
  <w:style w:type="paragraph" w:customStyle="1" w:styleId="h21">
    <w:name w:val="h21"/>
    <w:basedOn w:val="Normal"/>
    <w:pPr>
      <w:spacing w:before="100" w:beforeAutospacing="1" w:after="105"/>
      <w:ind w:left="435"/>
    </w:pPr>
    <w:rPr>
      <w:b/>
      <w:bCs/>
      <w:color w:val="9F2943"/>
      <w:sz w:val="26"/>
      <w:szCs w:val="26"/>
    </w:rPr>
  </w:style>
  <w:style w:type="paragraph" w:customStyle="1" w:styleId="h22">
    <w:name w:val="h22"/>
    <w:basedOn w:val="Normal"/>
    <w:pPr>
      <w:spacing w:before="100" w:beforeAutospacing="1" w:after="105"/>
      <w:ind w:left="435"/>
    </w:pPr>
    <w:rPr>
      <w:b/>
      <w:bCs/>
      <w:color w:val="9F2943"/>
      <w:sz w:val="26"/>
      <w:szCs w:val="26"/>
    </w:rPr>
  </w:style>
  <w:style w:type="paragraph" w:customStyle="1" w:styleId="cplus1">
    <w:name w:val="cplus1"/>
    <w:basedOn w:val="Normal"/>
    <w:pPr>
      <w:pBdr>
        <w:top w:val="single" w:sz="6" w:space="0" w:color="D1E1ED"/>
        <w:left w:val="single" w:sz="6" w:space="0" w:color="D1E1ED"/>
        <w:bottom w:val="single" w:sz="6" w:space="0" w:color="D1E1ED"/>
        <w:right w:val="single" w:sz="6" w:space="0" w:color="D1E1ED"/>
      </w:pBdr>
      <w:spacing w:before="100" w:beforeAutospacing="1" w:after="100" w:afterAutospacing="1"/>
    </w:pPr>
  </w:style>
  <w:style w:type="paragraph" w:customStyle="1" w:styleId="ai3">
    <w:name w:val="ai3"/>
    <w:basedOn w:val="Normal"/>
    <w:pPr>
      <w:spacing w:before="100" w:beforeAutospacing="1" w:after="100" w:afterAutospacing="1"/>
    </w:pPr>
    <w:rPr>
      <w:vanish/>
    </w:rPr>
  </w:style>
  <w:style w:type="paragraph" w:customStyle="1" w:styleId="ac3">
    <w:name w:val="ac3"/>
    <w:basedOn w:val="Normal"/>
    <w:pPr>
      <w:spacing w:before="100" w:beforeAutospacing="1" w:after="100" w:afterAutospacing="1"/>
    </w:pPr>
    <w:rPr>
      <w:vanish/>
    </w:rPr>
  </w:style>
  <w:style w:type="paragraph" w:customStyle="1" w:styleId="cdes1">
    <w:name w:val="cdes1"/>
    <w:basedOn w:val="Normal"/>
    <w:pPr>
      <w:pBdr>
        <w:top w:val="single" w:sz="6" w:space="15" w:color="D1E1ED"/>
        <w:left w:val="single" w:sz="6" w:space="15" w:color="D1E1ED"/>
        <w:bottom w:val="single" w:sz="6" w:space="15" w:color="D1E1ED"/>
        <w:right w:val="single" w:sz="6" w:space="15" w:color="D1E1ED"/>
      </w:pBdr>
      <w:spacing w:before="100" w:beforeAutospacing="1" w:after="100" w:afterAutospacing="1"/>
      <w:ind w:left="300" w:right="300"/>
    </w:pPr>
    <w:rPr>
      <w:b/>
      <w:bCs/>
      <w:sz w:val="22"/>
      <w:szCs w:val="22"/>
    </w:rPr>
  </w:style>
  <w:style w:type="paragraph" w:customStyle="1" w:styleId="idu1">
    <w:name w:val="idu1"/>
    <w:basedOn w:val="Normal"/>
    <w:pPr>
      <w:spacing w:before="100" w:beforeAutospacing="1" w:after="150"/>
    </w:pPr>
    <w:rPr>
      <w:vanish/>
      <w:color w:val="FFFFFF"/>
      <w:sz w:val="2"/>
      <w:szCs w:val="2"/>
    </w:rPr>
  </w:style>
  <w:style w:type="paragraph" w:customStyle="1" w:styleId="jfav1">
    <w:name w:val="jfav1"/>
    <w:basedOn w:val="Normal"/>
    <w:pPr>
      <w:spacing w:before="100" w:beforeAutospacing="1" w:after="100" w:afterAutospacing="1"/>
      <w:jc w:val="center"/>
    </w:pPr>
    <w:rPr>
      <w:b/>
      <w:bCs/>
      <w:color w:val="9F2943"/>
      <w:sz w:val="21"/>
      <w:szCs w:val="21"/>
    </w:rPr>
  </w:style>
  <w:style w:type="paragraph" w:customStyle="1" w:styleId="ccn2">
    <w:name w:val="ccn2"/>
    <w:basedOn w:val="Normal"/>
    <w:pPr>
      <w:shd w:val="clear" w:color="auto" w:fill="DBDBDB"/>
      <w:spacing w:before="100" w:beforeAutospacing="1" w:after="120"/>
    </w:pPr>
  </w:style>
  <w:style w:type="paragraph" w:customStyle="1" w:styleId="jva1">
    <w:name w:val="jva1"/>
    <w:basedOn w:val="Normal"/>
    <w:pPr>
      <w:spacing w:before="240" w:after="100" w:afterAutospacing="1"/>
    </w:pPr>
  </w:style>
  <w:style w:type="paragraph" w:customStyle="1" w:styleId="h32">
    <w:name w:val="h32"/>
    <w:basedOn w:val="Normal"/>
    <w:pPr>
      <w:pBdr>
        <w:top w:val="single" w:sz="6" w:space="23" w:color="FFFFFF"/>
      </w:pBdr>
      <w:spacing w:before="100" w:beforeAutospacing="1" w:after="105"/>
      <w:ind w:left="-150"/>
    </w:pPr>
    <w:rPr>
      <w:b/>
      <w:bCs/>
      <w:color w:val="9F2943"/>
      <w:sz w:val="26"/>
      <w:szCs w:val="26"/>
    </w:rPr>
  </w:style>
  <w:style w:type="paragraph" w:customStyle="1" w:styleId="h33">
    <w:name w:val="h33"/>
    <w:basedOn w:val="Normal"/>
    <w:pPr>
      <w:pBdr>
        <w:top w:val="single" w:sz="6" w:space="23" w:color="FFFFFF"/>
      </w:pBdr>
      <w:spacing w:before="100" w:beforeAutospacing="1" w:after="105"/>
      <w:ind w:left="-150"/>
    </w:pPr>
    <w:rPr>
      <w:b/>
      <w:bCs/>
      <w:color w:val="9F2943"/>
      <w:sz w:val="26"/>
      <w:szCs w:val="26"/>
    </w:rPr>
  </w:style>
  <w:style w:type="paragraph" w:customStyle="1" w:styleId="h34">
    <w:name w:val="h34"/>
    <w:basedOn w:val="Normal"/>
    <w:pPr>
      <w:pBdr>
        <w:top w:val="single" w:sz="6" w:space="23" w:color="FFFFFF"/>
      </w:pBdr>
      <w:spacing w:before="100" w:beforeAutospacing="1" w:after="105"/>
      <w:ind w:left="-150"/>
    </w:pPr>
    <w:rPr>
      <w:b/>
      <w:bCs/>
      <w:color w:val="9F2943"/>
      <w:sz w:val="26"/>
      <w:szCs w:val="26"/>
    </w:rPr>
  </w:style>
  <w:style w:type="paragraph" w:customStyle="1" w:styleId="h35">
    <w:name w:val="h35"/>
    <w:basedOn w:val="Normal"/>
    <w:pPr>
      <w:pBdr>
        <w:top w:val="single" w:sz="6" w:space="23" w:color="FFFFFF"/>
      </w:pBdr>
      <w:spacing w:before="100" w:beforeAutospacing="1" w:after="105"/>
      <w:ind w:left="-150"/>
    </w:pPr>
    <w:rPr>
      <w:b/>
      <w:bCs/>
      <w:color w:val="9F2943"/>
      <w:sz w:val="26"/>
      <w:szCs w:val="26"/>
    </w:rPr>
  </w:style>
  <w:style w:type="paragraph" w:customStyle="1" w:styleId="h36">
    <w:name w:val="h36"/>
    <w:basedOn w:val="Normal"/>
    <w:pPr>
      <w:pBdr>
        <w:top w:val="single" w:sz="6" w:space="23" w:color="FFFFFF"/>
      </w:pBdr>
      <w:spacing w:before="100" w:beforeAutospacing="1" w:after="105"/>
      <w:ind w:left="-150"/>
    </w:pPr>
    <w:rPr>
      <w:b/>
      <w:bCs/>
      <w:color w:val="9F2943"/>
      <w:sz w:val="26"/>
      <w:szCs w:val="26"/>
    </w:rPr>
  </w:style>
  <w:style w:type="paragraph" w:customStyle="1" w:styleId="h37">
    <w:name w:val="h37"/>
    <w:basedOn w:val="Normal"/>
    <w:pPr>
      <w:pBdr>
        <w:top w:val="single" w:sz="6" w:space="23" w:color="FFFFFF"/>
      </w:pBdr>
      <w:spacing w:before="100" w:beforeAutospacing="1" w:after="105"/>
      <w:ind w:left="-150"/>
    </w:pPr>
    <w:rPr>
      <w:b/>
      <w:bCs/>
      <w:vanish/>
      <w:color w:val="9F2943"/>
      <w:sz w:val="26"/>
      <w:szCs w:val="26"/>
    </w:rPr>
  </w:style>
  <w:style w:type="paragraph" w:customStyle="1" w:styleId="h38">
    <w:name w:val="h38"/>
    <w:basedOn w:val="Normal"/>
    <w:pPr>
      <w:pBdr>
        <w:top w:val="single" w:sz="6" w:space="23" w:color="FFFFFF"/>
      </w:pBdr>
      <w:spacing w:before="100" w:beforeAutospacing="1" w:after="105"/>
      <w:ind w:left="-150"/>
    </w:pPr>
    <w:rPr>
      <w:b/>
      <w:bCs/>
      <w:color w:val="9F2943"/>
      <w:sz w:val="26"/>
      <w:szCs w:val="26"/>
    </w:rPr>
  </w:style>
  <w:style w:type="paragraph" w:customStyle="1" w:styleId="h39">
    <w:name w:val="h39"/>
    <w:basedOn w:val="Normal"/>
    <w:pPr>
      <w:pBdr>
        <w:top w:val="single" w:sz="6" w:space="23" w:color="FFFFFF"/>
      </w:pBdr>
      <w:spacing w:before="100" w:beforeAutospacing="1" w:after="105"/>
      <w:ind w:left="-150"/>
    </w:pPr>
    <w:rPr>
      <w:b/>
      <w:bCs/>
      <w:color w:val="9F2943"/>
      <w:sz w:val="26"/>
      <w:szCs w:val="26"/>
    </w:rPr>
  </w:style>
  <w:style w:type="paragraph" w:customStyle="1" w:styleId="h310">
    <w:name w:val="h310"/>
    <w:basedOn w:val="Normal"/>
    <w:pPr>
      <w:pBdr>
        <w:top w:val="single" w:sz="6" w:space="23" w:color="FFFFFF"/>
      </w:pBdr>
      <w:spacing w:before="100" w:beforeAutospacing="1" w:after="105"/>
      <w:ind w:left="-150"/>
    </w:pPr>
    <w:rPr>
      <w:b/>
      <w:bCs/>
      <w:color w:val="9F2943"/>
      <w:sz w:val="26"/>
      <w:szCs w:val="26"/>
    </w:rPr>
  </w:style>
  <w:style w:type="paragraph" w:customStyle="1" w:styleId="h311">
    <w:name w:val="h311"/>
    <w:basedOn w:val="Normal"/>
    <w:pPr>
      <w:pBdr>
        <w:top w:val="single" w:sz="6" w:space="23" w:color="FFFFFF"/>
      </w:pBdr>
      <w:spacing w:before="100" w:beforeAutospacing="1" w:after="105"/>
      <w:ind w:left="-150"/>
    </w:pPr>
    <w:rPr>
      <w:b/>
      <w:bCs/>
      <w:color w:val="9F2943"/>
      <w:sz w:val="26"/>
      <w:szCs w:val="26"/>
    </w:rPr>
  </w:style>
  <w:style w:type="paragraph" w:customStyle="1" w:styleId="h312">
    <w:name w:val="h312"/>
    <w:basedOn w:val="Normal"/>
    <w:pPr>
      <w:pBdr>
        <w:top w:val="single" w:sz="6" w:space="23" w:color="FFFFFF"/>
      </w:pBdr>
      <w:spacing w:before="100" w:beforeAutospacing="1" w:after="105"/>
      <w:ind w:left="-150"/>
    </w:pPr>
    <w:rPr>
      <w:b/>
      <w:bCs/>
      <w:color w:val="9F2943"/>
      <w:sz w:val="26"/>
      <w:szCs w:val="26"/>
    </w:rPr>
  </w:style>
  <w:style w:type="paragraph" w:customStyle="1" w:styleId="h313">
    <w:name w:val="h313"/>
    <w:basedOn w:val="Normal"/>
    <w:pPr>
      <w:pBdr>
        <w:top w:val="single" w:sz="6" w:space="23" w:color="FFFFFF"/>
      </w:pBdr>
      <w:spacing w:before="100" w:beforeAutospacing="1" w:after="105"/>
      <w:ind w:left="-150"/>
    </w:pPr>
    <w:rPr>
      <w:b/>
      <w:bCs/>
      <w:color w:val="9F2943"/>
      <w:sz w:val="26"/>
      <w:szCs w:val="26"/>
    </w:rPr>
  </w:style>
  <w:style w:type="paragraph" w:customStyle="1" w:styleId="h314">
    <w:name w:val="h314"/>
    <w:basedOn w:val="Normal"/>
    <w:pPr>
      <w:pBdr>
        <w:top w:val="single" w:sz="6" w:space="23" w:color="FFFFFF"/>
      </w:pBdr>
      <w:spacing w:before="100" w:beforeAutospacing="1" w:after="105"/>
      <w:ind w:left="-150"/>
    </w:pPr>
    <w:rPr>
      <w:b/>
      <w:bCs/>
      <w:color w:val="9F2943"/>
      <w:sz w:val="26"/>
      <w:szCs w:val="26"/>
    </w:rPr>
  </w:style>
  <w:style w:type="paragraph" w:customStyle="1" w:styleId="h315">
    <w:name w:val="h315"/>
    <w:basedOn w:val="Normal"/>
    <w:pPr>
      <w:pBdr>
        <w:top w:val="single" w:sz="6" w:space="23" w:color="FFFFFF"/>
      </w:pBdr>
      <w:spacing w:before="100" w:beforeAutospacing="1" w:after="105"/>
      <w:ind w:left="-150"/>
    </w:pPr>
    <w:rPr>
      <w:b/>
      <w:bCs/>
      <w:color w:val="9F2943"/>
      <w:sz w:val="26"/>
      <w:szCs w:val="26"/>
    </w:rPr>
  </w:style>
  <w:style w:type="paragraph" w:customStyle="1" w:styleId="h316">
    <w:name w:val="h316"/>
    <w:basedOn w:val="Normal"/>
    <w:pPr>
      <w:pBdr>
        <w:top w:val="single" w:sz="6" w:space="23" w:color="FFFFFF"/>
      </w:pBdr>
      <w:spacing w:before="100" w:beforeAutospacing="1" w:after="105"/>
      <w:ind w:left="-150"/>
    </w:pPr>
    <w:rPr>
      <w:b/>
      <w:bCs/>
      <w:color w:val="9F2943"/>
      <w:sz w:val="26"/>
      <w:szCs w:val="26"/>
    </w:rPr>
  </w:style>
  <w:style w:type="paragraph" w:customStyle="1" w:styleId="h317">
    <w:name w:val="h317"/>
    <w:basedOn w:val="Normal"/>
    <w:pPr>
      <w:pBdr>
        <w:top w:val="single" w:sz="6" w:space="23" w:color="FFFFFF"/>
      </w:pBdr>
      <w:spacing w:before="100" w:beforeAutospacing="1" w:after="105"/>
      <w:ind w:left="-150"/>
    </w:pPr>
    <w:rPr>
      <w:b/>
      <w:bCs/>
      <w:color w:val="9F2943"/>
      <w:sz w:val="26"/>
      <w:szCs w:val="26"/>
    </w:rPr>
  </w:style>
  <w:style w:type="paragraph" w:customStyle="1" w:styleId="h318">
    <w:name w:val="h318"/>
    <w:basedOn w:val="Normal"/>
    <w:pPr>
      <w:pBdr>
        <w:top w:val="single" w:sz="6" w:space="23" w:color="FFFFFF"/>
      </w:pBdr>
      <w:spacing w:before="100" w:beforeAutospacing="1" w:after="105"/>
      <w:ind w:left="-150"/>
    </w:pPr>
    <w:rPr>
      <w:b/>
      <w:bCs/>
      <w:color w:val="9F2943"/>
      <w:sz w:val="26"/>
      <w:szCs w:val="26"/>
    </w:rPr>
  </w:style>
  <w:style w:type="paragraph" w:customStyle="1" w:styleId="h319">
    <w:name w:val="h319"/>
    <w:basedOn w:val="Normal"/>
    <w:pPr>
      <w:pBdr>
        <w:top w:val="single" w:sz="6" w:space="23" w:color="FFFFFF"/>
      </w:pBdr>
      <w:spacing w:before="100" w:beforeAutospacing="1" w:after="105"/>
      <w:ind w:left="-150"/>
    </w:pPr>
    <w:rPr>
      <w:b/>
      <w:bCs/>
      <w:color w:val="9F2943"/>
      <w:sz w:val="26"/>
      <w:szCs w:val="26"/>
    </w:rPr>
  </w:style>
  <w:style w:type="paragraph" w:customStyle="1" w:styleId="h320">
    <w:name w:val="h320"/>
    <w:basedOn w:val="Normal"/>
    <w:pPr>
      <w:pBdr>
        <w:top w:val="single" w:sz="6" w:space="23" w:color="FFFFFF"/>
      </w:pBdr>
      <w:spacing w:before="100" w:beforeAutospacing="1" w:after="105"/>
      <w:ind w:left="-150"/>
    </w:pPr>
    <w:rPr>
      <w:b/>
      <w:bCs/>
      <w:color w:val="9F2943"/>
      <w:sz w:val="26"/>
      <w:szCs w:val="26"/>
    </w:rPr>
  </w:style>
  <w:style w:type="paragraph" w:customStyle="1" w:styleId="h321">
    <w:name w:val="h321"/>
    <w:basedOn w:val="Normal"/>
    <w:pPr>
      <w:pBdr>
        <w:top w:val="single" w:sz="6" w:space="23" w:color="FFFFFF"/>
      </w:pBdr>
      <w:spacing w:before="100" w:beforeAutospacing="1" w:after="105"/>
      <w:ind w:left="-150"/>
    </w:pPr>
    <w:rPr>
      <w:b/>
      <w:bCs/>
      <w:color w:val="9F2943"/>
      <w:sz w:val="26"/>
      <w:szCs w:val="26"/>
    </w:rPr>
  </w:style>
  <w:style w:type="paragraph" w:customStyle="1" w:styleId="h322">
    <w:name w:val="h322"/>
    <w:basedOn w:val="Normal"/>
    <w:pPr>
      <w:pBdr>
        <w:top w:val="single" w:sz="6" w:space="23" w:color="FFFFFF"/>
      </w:pBdr>
      <w:spacing w:before="100" w:beforeAutospacing="1" w:after="105"/>
      <w:ind w:left="-150"/>
    </w:pPr>
    <w:rPr>
      <w:b/>
      <w:bCs/>
      <w:color w:val="9F2943"/>
      <w:sz w:val="26"/>
      <w:szCs w:val="26"/>
    </w:rPr>
  </w:style>
  <w:style w:type="paragraph" w:customStyle="1" w:styleId="h323">
    <w:name w:val="h323"/>
    <w:basedOn w:val="Normal"/>
    <w:pPr>
      <w:pBdr>
        <w:top w:val="single" w:sz="6" w:space="23" w:color="FFFFFF"/>
      </w:pBdr>
      <w:spacing w:before="100" w:beforeAutospacing="1" w:after="105"/>
      <w:ind w:left="-150"/>
    </w:pPr>
    <w:rPr>
      <w:b/>
      <w:bCs/>
      <w:color w:val="9F2943"/>
      <w:sz w:val="26"/>
      <w:szCs w:val="26"/>
    </w:rPr>
  </w:style>
  <w:style w:type="paragraph" w:customStyle="1" w:styleId="h324">
    <w:name w:val="h324"/>
    <w:basedOn w:val="Normal"/>
    <w:pPr>
      <w:pBdr>
        <w:top w:val="single" w:sz="6" w:space="23" w:color="FFFFFF"/>
      </w:pBdr>
      <w:spacing w:before="100" w:beforeAutospacing="1" w:after="105"/>
      <w:ind w:left="-150"/>
    </w:pPr>
    <w:rPr>
      <w:b/>
      <w:bCs/>
      <w:color w:val="9F2943"/>
      <w:sz w:val="26"/>
      <w:szCs w:val="26"/>
    </w:rPr>
  </w:style>
  <w:style w:type="paragraph" w:customStyle="1" w:styleId="h325">
    <w:name w:val="h325"/>
    <w:basedOn w:val="Normal"/>
    <w:pPr>
      <w:pBdr>
        <w:top w:val="single" w:sz="6" w:space="23" w:color="FFFFFF"/>
      </w:pBdr>
      <w:spacing w:before="100" w:beforeAutospacing="1" w:after="105"/>
      <w:ind w:left="-150"/>
    </w:pPr>
    <w:rPr>
      <w:b/>
      <w:bCs/>
      <w:color w:val="9F2943"/>
      <w:sz w:val="26"/>
      <w:szCs w:val="26"/>
    </w:rPr>
  </w:style>
  <w:style w:type="paragraph" w:customStyle="1" w:styleId="h326">
    <w:name w:val="h326"/>
    <w:basedOn w:val="Normal"/>
    <w:pPr>
      <w:pBdr>
        <w:top w:val="single" w:sz="6" w:space="23" w:color="FFFFFF"/>
      </w:pBdr>
      <w:spacing w:before="100" w:beforeAutospacing="1" w:after="105"/>
      <w:ind w:left="-150"/>
    </w:pPr>
    <w:rPr>
      <w:b/>
      <w:bCs/>
      <w:color w:val="9F2943"/>
      <w:sz w:val="26"/>
      <w:szCs w:val="26"/>
    </w:rPr>
  </w:style>
  <w:style w:type="paragraph" w:customStyle="1" w:styleId="h327">
    <w:name w:val="h327"/>
    <w:basedOn w:val="Normal"/>
    <w:pPr>
      <w:pBdr>
        <w:top w:val="single" w:sz="6" w:space="23" w:color="FFFFFF"/>
      </w:pBdr>
      <w:spacing w:before="100" w:beforeAutospacing="1" w:after="105"/>
      <w:ind w:left="-150"/>
    </w:pPr>
    <w:rPr>
      <w:b/>
      <w:bCs/>
      <w:color w:val="9F2943"/>
      <w:sz w:val="26"/>
      <w:szCs w:val="26"/>
    </w:rPr>
  </w:style>
  <w:style w:type="paragraph" w:customStyle="1" w:styleId="h328">
    <w:name w:val="h328"/>
    <w:basedOn w:val="Normal"/>
    <w:pPr>
      <w:pBdr>
        <w:top w:val="single" w:sz="6" w:space="23" w:color="FFFFFF"/>
      </w:pBdr>
      <w:spacing w:before="100" w:beforeAutospacing="1" w:after="105"/>
      <w:ind w:left="-150"/>
    </w:pPr>
    <w:rPr>
      <w:b/>
      <w:bCs/>
      <w:color w:val="9F2943"/>
      <w:sz w:val="26"/>
      <w:szCs w:val="26"/>
    </w:rPr>
  </w:style>
  <w:style w:type="paragraph" w:customStyle="1" w:styleId="h329">
    <w:name w:val="h329"/>
    <w:basedOn w:val="Normal"/>
    <w:pPr>
      <w:pBdr>
        <w:top w:val="single" w:sz="6" w:space="23" w:color="FFFFFF"/>
      </w:pBdr>
      <w:spacing w:before="100" w:beforeAutospacing="1" w:after="105"/>
      <w:ind w:left="-150"/>
    </w:pPr>
    <w:rPr>
      <w:b/>
      <w:bCs/>
      <w:color w:val="9F2943"/>
      <w:sz w:val="26"/>
      <w:szCs w:val="26"/>
    </w:rPr>
  </w:style>
  <w:style w:type="paragraph" w:customStyle="1" w:styleId="h330">
    <w:name w:val="h330"/>
    <w:basedOn w:val="Normal"/>
    <w:pPr>
      <w:pBdr>
        <w:top w:val="single" w:sz="6" w:space="23" w:color="FFFFFF"/>
      </w:pBdr>
      <w:spacing w:before="100" w:beforeAutospacing="1" w:after="105"/>
      <w:ind w:left="-150"/>
    </w:pPr>
    <w:rPr>
      <w:b/>
      <w:bCs/>
      <w:color w:val="9F2943"/>
      <w:sz w:val="26"/>
      <w:szCs w:val="26"/>
    </w:rPr>
  </w:style>
  <w:style w:type="paragraph" w:customStyle="1" w:styleId="h331">
    <w:name w:val="h331"/>
    <w:basedOn w:val="Normal"/>
    <w:pPr>
      <w:pBdr>
        <w:top w:val="single" w:sz="6" w:space="23" w:color="FFFFFF"/>
      </w:pBdr>
      <w:spacing w:before="100" w:beforeAutospacing="1" w:after="105"/>
      <w:ind w:left="-150"/>
    </w:pPr>
    <w:rPr>
      <w:b/>
      <w:bCs/>
      <w:color w:val="9F2943"/>
      <w:sz w:val="26"/>
      <w:szCs w:val="26"/>
    </w:rPr>
  </w:style>
  <w:style w:type="paragraph" w:customStyle="1" w:styleId="h332">
    <w:name w:val="h332"/>
    <w:basedOn w:val="Normal"/>
    <w:pPr>
      <w:pBdr>
        <w:top w:val="single" w:sz="6" w:space="23" w:color="FFFFFF"/>
      </w:pBdr>
      <w:spacing w:before="100" w:beforeAutospacing="1" w:after="105"/>
      <w:ind w:left="-150"/>
    </w:pPr>
    <w:rPr>
      <w:b/>
      <w:bCs/>
      <w:color w:val="9F2943"/>
      <w:sz w:val="26"/>
      <w:szCs w:val="26"/>
    </w:rPr>
  </w:style>
  <w:style w:type="paragraph" w:customStyle="1" w:styleId="h333">
    <w:name w:val="h333"/>
    <w:basedOn w:val="Normal"/>
    <w:pPr>
      <w:pBdr>
        <w:top w:val="single" w:sz="6" w:space="23" w:color="FFFFFF"/>
      </w:pBdr>
      <w:spacing w:before="100" w:beforeAutospacing="1" w:after="105"/>
      <w:ind w:left="-150"/>
    </w:pPr>
    <w:rPr>
      <w:b/>
      <w:bCs/>
      <w:color w:val="9F2943"/>
      <w:sz w:val="26"/>
      <w:szCs w:val="26"/>
    </w:rPr>
  </w:style>
  <w:style w:type="paragraph" w:customStyle="1" w:styleId="h334">
    <w:name w:val="h334"/>
    <w:basedOn w:val="Normal"/>
    <w:pPr>
      <w:pBdr>
        <w:top w:val="single" w:sz="6" w:space="23" w:color="FFFFFF"/>
      </w:pBdr>
      <w:spacing w:before="100" w:beforeAutospacing="1" w:after="105"/>
      <w:ind w:left="-150"/>
    </w:pPr>
    <w:rPr>
      <w:b/>
      <w:bCs/>
      <w:color w:val="9F2943"/>
      <w:sz w:val="26"/>
      <w:szCs w:val="26"/>
    </w:rPr>
  </w:style>
  <w:style w:type="paragraph" w:customStyle="1" w:styleId="h335">
    <w:name w:val="h335"/>
    <w:basedOn w:val="Normal"/>
    <w:pPr>
      <w:pBdr>
        <w:top w:val="single" w:sz="6" w:space="23" w:color="FFFFFF"/>
      </w:pBdr>
      <w:spacing w:before="100" w:beforeAutospacing="1" w:after="105"/>
      <w:ind w:left="-150"/>
    </w:pPr>
    <w:rPr>
      <w:b/>
      <w:bCs/>
      <w:color w:val="9F2943"/>
      <w:sz w:val="26"/>
      <w:szCs w:val="26"/>
    </w:rPr>
  </w:style>
  <w:style w:type="paragraph" w:customStyle="1" w:styleId="h336">
    <w:name w:val="h336"/>
    <w:basedOn w:val="Normal"/>
    <w:pPr>
      <w:pBdr>
        <w:top w:val="single" w:sz="6" w:space="23" w:color="FFFFFF"/>
      </w:pBdr>
      <w:spacing w:before="100" w:beforeAutospacing="1" w:after="105"/>
      <w:ind w:left="-150"/>
    </w:pPr>
    <w:rPr>
      <w:b/>
      <w:bCs/>
      <w:color w:val="9F2943"/>
      <w:sz w:val="26"/>
      <w:szCs w:val="26"/>
    </w:rPr>
  </w:style>
  <w:style w:type="paragraph" w:customStyle="1" w:styleId="h337">
    <w:name w:val="h337"/>
    <w:basedOn w:val="Normal"/>
    <w:pPr>
      <w:pBdr>
        <w:top w:val="single" w:sz="6" w:space="23" w:color="FFFFFF"/>
      </w:pBdr>
      <w:spacing w:before="100" w:beforeAutospacing="1" w:after="105"/>
      <w:ind w:left="-150"/>
    </w:pPr>
    <w:rPr>
      <w:b/>
      <w:bCs/>
      <w:color w:val="9F2943"/>
      <w:sz w:val="26"/>
      <w:szCs w:val="26"/>
    </w:rPr>
  </w:style>
  <w:style w:type="paragraph" w:customStyle="1" w:styleId="h338">
    <w:name w:val="h338"/>
    <w:basedOn w:val="Normal"/>
    <w:pPr>
      <w:pBdr>
        <w:top w:val="single" w:sz="6" w:space="23" w:color="FFFFFF"/>
      </w:pBdr>
      <w:spacing w:before="100" w:beforeAutospacing="1" w:after="105"/>
      <w:ind w:left="-150"/>
    </w:pPr>
    <w:rPr>
      <w:b/>
      <w:bCs/>
      <w:color w:val="9F2943"/>
      <w:sz w:val="26"/>
      <w:szCs w:val="26"/>
    </w:rPr>
  </w:style>
  <w:style w:type="paragraph" w:customStyle="1" w:styleId="h339">
    <w:name w:val="h339"/>
    <w:basedOn w:val="Normal"/>
    <w:pPr>
      <w:pBdr>
        <w:top w:val="single" w:sz="6" w:space="23" w:color="FFFFFF"/>
      </w:pBdr>
      <w:spacing w:before="100" w:beforeAutospacing="1" w:after="105"/>
      <w:ind w:left="-150"/>
    </w:pPr>
    <w:rPr>
      <w:b/>
      <w:bCs/>
      <w:color w:val="9F2943"/>
      <w:sz w:val="26"/>
      <w:szCs w:val="26"/>
    </w:rPr>
  </w:style>
  <w:style w:type="paragraph" w:customStyle="1" w:styleId="h340">
    <w:name w:val="h340"/>
    <w:basedOn w:val="Normal"/>
    <w:pPr>
      <w:pBdr>
        <w:top w:val="single" w:sz="6" w:space="23" w:color="FFFFFF"/>
      </w:pBdr>
      <w:spacing w:before="100" w:beforeAutospacing="1" w:after="105"/>
      <w:ind w:left="-150"/>
    </w:pPr>
    <w:rPr>
      <w:b/>
      <w:bCs/>
      <w:color w:val="9F2943"/>
      <w:sz w:val="26"/>
      <w:szCs w:val="26"/>
    </w:rPr>
  </w:style>
  <w:style w:type="paragraph" w:customStyle="1" w:styleId="h341">
    <w:name w:val="h341"/>
    <w:basedOn w:val="Normal"/>
    <w:pPr>
      <w:pBdr>
        <w:top w:val="single" w:sz="6" w:space="23" w:color="FFFFFF"/>
      </w:pBdr>
      <w:spacing w:before="100" w:beforeAutospacing="1" w:after="105"/>
      <w:ind w:left="-150"/>
    </w:pPr>
    <w:rPr>
      <w:b/>
      <w:bCs/>
      <w:color w:val="9F2943"/>
      <w:sz w:val="26"/>
      <w:szCs w:val="26"/>
    </w:rPr>
  </w:style>
  <w:style w:type="paragraph" w:customStyle="1" w:styleId="h342">
    <w:name w:val="h342"/>
    <w:basedOn w:val="Normal"/>
    <w:pPr>
      <w:pBdr>
        <w:top w:val="single" w:sz="6" w:space="23" w:color="FFFFFF"/>
      </w:pBdr>
      <w:spacing w:before="100" w:beforeAutospacing="1" w:after="105"/>
      <w:ind w:left="-150"/>
    </w:pPr>
    <w:rPr>
      <w:b/>
      <w:bCs/>
      <w:color w:val="9F2943"/>
      <w:sz w:val="26"/>
      <w:szCs w:val="26"/>
    </w:rPr>
  </w:style>
  <w:style w:type="paragraph" w:customStyle="1" w:styleId="h343">
    <w:name w:val="h343"/>
    <w:basedOn w:val="Normal"/>
    <w:pPr>
      <w:pBdr>
        <w:top w:val="single" w:sz="6" w:space="23" w:color="FFFFFF"/>
      </w:pBdr>
      <w:spacing w:before="100" w:beforeAutospacing="1" w:after="105"/>
      <w:ind w:left="-150"/>
    </w:pPr>
    <w:rPr>
      <w:b/>
      <w:bCs/>
      <w:color w:val="9F2943"/>
      <w:sz w:val="26"/>
      <w:szCs w:val="26"/>
    </w:rPr>
  </w:style>
  <w:style w:type="paragraph" w:customStyle="1" w:styleId="h344">
    <w:name w:val="h344"/>
    <w:basedOn w:val="Normal"/>
    <w:pPr>
      <w:pBdr>
        <w:top w:val="single" w:sz="6" w:space="23" w:color="FFFFFF"/>
      </w:pBdr>
      <w:spacing w:before="100" w:beforeAutospacing="1" w:after="105"/>
      <w:ind w:left="-150"/>
    </w:pPr>
    <w:rPr>
      <w:b/>
      <w:bCs/>
      <w:color w:val="9F2943"/>
      <w:sz w:val="26"/>
      <w:szCs w:val="26"/>
    </w:rPr>
  </w:style>
  <w:style w:type="paragraph" w:customStyle="1" w:styleId="pex2">
    <w:name w:val="pex2"/>
    <w:basedOn w:val="Normal"/>
    <w:pPr>
      <w:spacing w:before="100" w:beforeAutospacing="1" w:after="100" w:afterAutospacing="1"/>
    </w:pPr>
    <w:rPr>
      <w:color w:val="FFFFFF"/>
      <w:sz w:val="2"/>
      <w:szCs w:val="2"/>
    </w:rPr>
  </w:style>
  <w:style w:type="paragraph" w:customStyle="1" w:styleId="h345">
    <w:name w:val="h345"/>
    <w:basedOn w:val="Normal"/>
    <w:pPr>
      <w:spacing w:before="100" w:beforeAutospacing="1" w:after="100" w:afterAutospacing="1"/>
    </w:pPr>
    <w:rPr>
      <w:vanish/>
    </w:rPr>
  </w:style>
  <w:style w:type="paragraph" w:customStyle="1" w:styleId="h346">
    <w:name w:val="h346"/>
    <w:basedOn w:val="Normal"/>
    <w:pPr>
      <w:spacing w:before="100" w:beforeAutospacing="1" w:after="100" w:afterAutospacing="1"/>
    </w:pPr>
    <w:rPr>
      <w:vanish/>
    </w:rPr>
  </w:style>
  <w:style w:type="paragraph" w:customStyle="1" w:styleId="h347">
    <w:name w:val="h347"/>
    <w:basedOn w:val="Normal"/>
    <w:pPr>
      <w:spacing w:before="100" w:beforeAutospacing="1" w:after="100" w:afterAutospacing="1"/>
    </w:pPr>
    <w:rPr>
      <w:vanish/>
    </w:rPr>
  </w:style>
  <w:style w:type="paragraph" w:customStyle="1" w:styleId="h41">
    <w:name w:val="h41"/>
    <w:basedOn w:val="Normal"/>
    <w:pPr>
      <w:spacing w:before="100" w:beforeAutospacing="1" w:after="100" w:afterAutospacing="1"/>
    </w:pPr>
    <w:rPr>
      <w:b/>
      <w:bCs/>
    </w:rPr>
  </w:style>
  <w:style w:type="paragraph" w:customStyle="1" w:styleId="h42">
    <w:name w:val="h42"/>
    <w:basedOn w:val="Normal"/>
    <w:pPr>
      <w:spacing w:before="100" w:beforeAutospacing="1" w:after="100" w:afterAutospacing="1"/>
    </w:pPr>
    <w:rPr>
      <w:b/>
      <w:bCs/>
    </w:rPr>
  </w:style>
  <w:style w:type="paragraph" w:customStyle="1" w:styleId="h43">
    <w:name w:val="h43"/>
    <w:basedOn w:val="Normal"/>
    <w:pPr>
      <w:spacing w:before="100" w:beforeAutospacing="1" w:after="100" w:afterAutospacing="1"/>
    </w:pPr>
    <w:rPr>
      <w:b/>
      <w:bCs/>
    </w:rPr>
  </w:style>
  <w:style w:type="paragraph" w:customStyle="1" w:styleId="h44">
    <w:name w:val="h44"/>
    <w:basedOn w:val="Normal"/>
    <w:pPr>
      <w:spacing w:before="100" w:beforeAutospacing="1" w:after="100" w:afterAutospacing="1"/>
    </w:pPr>
    <w:rPr>
      <w:b/>
      <w:bCs/>
    </w:rPr>
  </w:style>
  <w:style w:type="paragraph" w:customStyle="1" w:styleId="h45">
    <w:name w:val="h45"/>
    <w:basedOn w:val="Normal"/>
    <w:pPr>
      <w:spacing w:before="100" w:beforeAutospacing="1" w:after="100" w:afterAutospacing="1"/>
    </w:pPr>
    <w:rPr>
      <w:b/>
      <w:bCs/>
    </w:rPr>
  </w:style>
  <w:style w:type="paragraph" w:customStyle="1" w:styleId="h46">
    <w:name w:val="h46"/>
    <w:basedOn w:val="Normal"/>
    <w:pPr>
      <w:spacing w:before="100" w:beforeAutospacing="1" w:after="100" w:afterAutospacing="1"/>
    </w:pPr>
    <w:rPr>
      <w:b/>
      <w:bCs/>
    </w:rPr>
  </w:style>
  <w:style w:type="paragraph" w:customStyle="1" w:styleId="h47">
    <w:name w:val="h47"/>
    <w:basedOn w:val="Normal"/>
    <w:pPr>
      <w:spacing w:before="100" w:beforeAutospacing="1" w:after="100" w:afterAutospacing="1"/>
    </w:pPr>
    <w:rPr>
      <w:b/>
      <w:bCs/>
    </w:rPr>
  </w:style>
  <w:style w:type="paragraph" w:customStyle="1" w:styleId="h48">
    <w:name w:val="h48"/>
    <w:basedOn w:val="Normal"/>
    <w:pPr>
      <w:spacing w:before="100" w:beforeAutospacing="1" w:after="100" w:afterAutospacing="1"/>
    </w:pPr>
    <w:rPr>
      <w:b/>
      <w:bCs/>
    </w:rPr>
  </w:style>
  <w:style w:type="paragraph" w:customStyle="1" w:styleId="h49">
    <w:name w:val="h49"/>
    <w:basedOn w:val="Normal"/>
    <w:pPr>
      <w:spacing w:before="100" w:beforeAutospacing="1" w:after="100" w:afterAutospacing="1"/>
    </w:pPr>
    <w:rPr>
      <w:b/>
      <w:bCs/>
    </w:rPr>
  </w:style>
  <w:style w:type="paragraph" w:customStyle="1" w:styleId="h410">
    <w:name w:val="h410"/>
    <w:basedOn w:val="Normal"/>
    <w:pPr>
      <w:spacing w:before="100" w:beforeAutospacing="1" w:after="100" w:afterAutospacing="1"/>
    </w:pPr>
    <w:rPr>
      <w:b/>
      <w:bCs/>
    </w:rPr>
  </w:style>
  <w:style w:type="paragraph" w:customStyle="1" w:styleId="h411">
    <w:name w:val="h411"/>
    <w:basedOn w:val="Normal"/>
    <w:pPr>
      <w:spacing w:before="100" w:beforeAutospacing="1" w:after="100" w:afterAutospacing="1"/>
    </w:pPr>
    <w:rPr>
      <w:b/>
      <w:bCs/>
    </w:rPr>
  </w:style>
  <w:style w:type="paragraph" w:customStyle="1" w:styleId="h412">
    <w:name w:val="h412"/>
    <w:basedOn w:val="Normal"/>
    <w:pPr>
      <w:spacing w:before="100" w:beforeAutospacing="1" w:after="100" w:afterAutospacing="1"/>
    </w:pPr>
    <w:rPr>
      <w:b/>
      <w:bCs/>
    </w:rPr>
  </w:style>
  <w:style w:type="paragraph" w:customStyle="1" w:styleId="h413">
    <w:name w:val="h413"/>
    <w:basedOn w:val="Normal"/>
    <w:pPr>
      <w:spacing w:before="100" w:beforeAutospacing="1" w:after="100" w:afterAutospacing="1"/>
    </w:pPr>
    <w:rPr>
      <w:b/>
      <w:bCs/>
    </w:rPr>
  </w:style>
  <w:style w:type="paragraph" w:customStyle="1" w:styleId="h414">
    <w:name w:val="h414"/>
    <w:basedOn w:val="Normal"/>
    <w:pPr>
      <w:spacing w:before="100" w:beforeAutospacing="1" w:after="100" w:afterAutospacing="1"/>
    </w:pPr>
    <w:rPr>
      <w:b/>
      <w:bCs/>
    </w:rPr>
  </w:style>
  <w:style w:type="paragraph" w:customStyle="1" w:styleId="h415">
    <w:name w:val="h415"/>
    <w:basedOn w:val="Normal"/>
    <w:pPr>
      <w:spacing w:before="100" w:beforeAutospacing="1" w:after="100" w:afterAutospacing="1"/>
    </w:pPr>
    <w:rPr>
      <w:b/>
      <w:bCs/>
    </w:rPr>
  </w:style>
  <w:style w:type="paragraph" w:customStyle="1" w:styleId="h416">
    <w:name w:val="h416"/>
    <w:basedOn w:val="Normal"/>
    <w:pPr>
      <w:spacing w:before="100" w:beforeAutospacing="1" w:after="100" w:afterAutospacing="1"/>
    </w:pPr>
    <w:rPr>
      <w:b/>
      <w:bCs/>
    </w:rPr>
  </w:style>
  <w:style w:type="paragraph" w:customStyle="1" w:styleId="h417">
    <w:name w:val="h417"/>
    <w:basedOn w:val="Normal"/>
    <w:pPr>
      <w:spacing w:before="100" w:beforeAutospacing="1" w:after="100" w:afterAutospacing="1"/>
    </w:pPr>
    <w:rPr>
      <w:b/>
      <w:bCs/>
    </w:rPr>
  </w:style>
  <w:style w:type="paragraph" w:customStyle="1" w:styleId="h418">
    <w:name w:val="h418"/>
    <w:basedOn w:val="Normal"/>
    <w:pPr>
      <w:spacing w:before="100" w:beforeAutospacing="1" w:after="100" w:afterAutospacing="1"/>
    </w:pPr>
    <w:rPr>
      <w:b/>
      <w:bCs/>
    </w:rPr>
  </w:style>
  <w:style w:type="paragraph" w:customStyle="1" w:styleId="h419">
    <w:name w:val="h419"/>
    <w:basedOn w:val="Normal"/>
    <w:pPr>
      <w:spacing w:before="100" w:beforeAutospacing="1" w:after="100" w:afterAutospacing="1"/>
    </w:pPr>
    <w:rPr>
      <w:b/>
      <w:bCs/>
    </w:rPr>
  </w:style>
  <w:style w:type="paragraph" w:customStyle="1" w:styleId="h420">
    <w:name w:val="h420"/>
    <w:basedOn w:val="Normal"/>
    <w:pPr>
      <w:spacing w:before="100" w:beforeAutospacing="1" w:after="100" w:afterAutospacing="1"/>
    </w:pPr>
    <w:rPr>
      <w:b/>
      <w:bCs/>
    </w:rPr>
  </w:style>
  <w:style w:type="paragraph" w:customStyle="1" w:styleId="h421">
    <w:name w:val="h421"/>
    <w:basedOn w:val="Normal"/>
    <w:pPr>
      <w:spacing w:before="100" w:beforeAutospacing="1" w:after="100" w:afterAutospacing="1"/>
    </w:pPr>
    <w:rPr>
      <w:b/>
      <w:bCs/>
    </w:rPr>
  </w:style>
  <w:style w:type="paragraph" w:customStyle="1" w:styleId="h422">
    <w:name w:val="h422"/>
    <w:basedOn w:val="Normal"/>
    <w:pPr>
      <w:spacing w:before="100" w:beforeAutospacing="1" w:after="100" w:afterAutospacing="1"/>
    </w:pPr>
    <w:rPr>
      <w:b/>
      <w:bCs/>
    </w:rPr>
  </w:style>
  <w:style w:type="paragraph" w:customStyle="1" w:styleId="h423">
    <w:name w:val="h423"/>
    <w:basedOn w:val="Normal"/>
    <w:pPr>
      <w:spacing w:before="100" w:beforeAutospacing="1" w:after="100" w:afterAutospacing="1"/>
    </w:pPr>
    <w:rPr>
      <w:b/>
      <w:bCs/>
    </w:rPr>
  </w:style>
  <w:style w:type="paragraph" w:customStyle="1" w:styleId="h424">
    <w:name w:val="h424"/>
    <w:basedOn w:val="Normal"/>
    <w:pPr>
      <w:spacing w:before="100" w:beforeAutospacing="1" w:after="100" w:afterAutospacing="1"/>
    </w:pPr>
    <w:rPr>
      <w:b/>
      <w:bCs/>
    </w:rPr>
  </w:style>
  <w:style w:type="paragraph" w:customStyle="1" w:styleId="h425">
    <w:name w:val="h425"/>
    <w:basedOn w:val="Normal"/>
    <w:pPr>
      <w:spacing w:before="100" w:beforeAutospacing="1" w:after="100" w:afterAutospacing="1"/>
    </w:pPr>
    <w:rPr>
      <w:b/>
      <w:bCs/>
    </w:rPr>
  </w:style>
  <w:style w:type="paragraph" w:customStyle="1" w:styleId="h426">
    <w:name w:val="h426"/>
    <w:basedOn w:val="Normal"/>
    <w:pPr>
      <w:spacing w:before="100" w:beforeAutospacing="1" w:after="100" w:afterAutospacing="1"/>
    </w:pPr>
    <w:rPr>
      <w:b/>
      <w:bCs/>
    </w:rPr>
  </w:style>
  <w:style w:type="paragraph" w:customStyle="1" w:styleId="h427">
    <w:name w:val="h427"/>
    <w:basedOn w:val="Normal"/>
    <w:pPr>
      <w:spacing w:before="100" w:beforeAutospacing="1" w:after="100" w:afterAutospacing="1"/>
    </w:pPr>
    <w:rPr>
      <w:b/>
      <w:bCs/>
    </w:rPr>
  </w:style>
  <w:style w:type="paragraph" w:customStyle="1" w:styleId="h428">
    <w:name w:val="h428"/>
    <w:basedOn w:val="Normal"/>
    <w:pPr>
      <w:spacing w:before="100" w:beforeAutospacing="1" w:after="100" w:afterAutospacing="1"/>
    </w:pPr>
    <w:rPr>
      <w:b/>
      <w:bCs/>
    </w:rPr>
  </w:style>
  <w:style w:type="paragraph" w:customStyle="1" w:styleId="h429">
    <w:name w:val="h429"/>
    <w:basedOn w:val="Normal"/>
    <w:pPr>
      <w:spacing w:before="100" w:beforeAutospacing="1" w:after="100" w:afterAutospacing="1"/>
    </w:pPr>
    <w:rPr>
      <w:b/>
      <w:bCs/>
    </w:rPr>
  </w:style>
  <w:style w:type="paragraph" w:customStyle="1" w:styleId="h430">
    <w:name w:val="h430"/>
    <w:basedOn w:val="Normal"/>
    <w:pPr>
      <w:spacing w:before="100" w:beforeAutospacing="1" w:after="100" w:afterAutospacing="1"/>
    </w:pPr>
    <w:rPr>
      <w:b/>
      <w:bCs/>
    </w:rPr>
  </w:style>
  <w:style w:type="paragraph" w:customStyle="1" w:styleId="h431">
    <w:name w:val="h431"/>
    <w:basedOn w:val="Normal"/>
    <w:pPr>
      <w:spacing w:before="100" w:beforeAutospacing="1" w:after="100" w:afterAutospacing="1"/>
    </w:pPr>
    <w:rPr>
      <w:b/>
      <w:bCs/>
    </w:rPr>
  </w:style>
  <w:style w:type="paragraph" w:customStyle="1" w:styleId="h432">
    <w:name w:val="h432"/>
    <w:basedOn w:val="Normal"/>
    <w:pPr>
      <w:spacing w:before="100" w:beforeAutospacing="1" w:after="100" w:afterAutospacing="1"/>
    </w:pPr>
    <w:rPr>
      <w:b/>
      <w:bCs/>
    </w:rPr>
  </w:style>
  <w:style w:type="paragraph" w:customStyle="1" w:styleId="h433">
    <w:name w:val="h433"/>
    <w:basedOn w:val="Normal"/>
    <w:pPr>
      <w:spacing w:before="100" w:beforeAutospacing="1" w:after="100" w:afterAutospacing="1"/>
    </w:pPr>
    <w:rPr>
      <w:b/>
      <w:bCs/>
    </w:rPr>
  </w:style>
  <w:style w:type="paragraph" w:customStyle="1" w:styleId="h434">
    <w:name w:val="h434"/>
    <w:basedOn w:val="Normal"/>
    <w:pPr>
      <w:spacing w:before="100" w:beforeAutospacing="1" w:after="100" w:afterAutospacing="1"/>
    </w:pPr>
    <w:rPr>
      <w:b/>
      <w:bCs/>
    </w:rPr>
  </w:style>
  <w:style w:type="paragraph" w:customStyle="1" w:styleId="h435">
    <w:name w:val="h435"/>
    <w:basedOn w:val="Normal"/>
    <w:pPr>
      <w:spacing w:before="100" w:beforeAutospacing="1" w:after="100" w:afterAutospacing="1"/>
    </w:pPr>
    <w:rPr>
      <w:b/>
      <w:bCs/>
    </w:rPr>
  </w:style>
  <w:style w:type="paragraph" w:customStyle="1" w:styleId="h436">
    <w:name w:val="h436"/>
    <w:basedOn w:val="Normal"/>
    <w:pPr>
      <w:spacing w:before="100" w:beforeAutospacing="1" w:after="100" w:afterAutospacing="1"/>
    </w:pPr>
    <w:rPr>
      <w:b/>
      <w:bCs/>
    </w:rPr>
  </w:style>
  <w:style w:type="paragraph" w:customStyle="1" w:styleId="h437">
    <w:name w:val="h437"/>
    <w:basedOn w:val="Normal"/>
    <w:pPr>
      <w:spacing w:before="100" w:beforeAutospacing="1" w:after="100" w:afterAutospacing="1"/>
    </w:pPr>
    <w:rPr>
      <w:b/>
      <w:bCs/>
    </w:rPr>
  </w:style>
  <w:style w:type="paragraph" w:customStyle="1" w:styleId="h438">
    <w:name w:val="h438"/>
    <w:basedOn w:val="Normal"/>
    <w:pPr>
      <w:spacing w:before="100" w:beforeAutospacing="1" w:after="100" w:afterAutospacing="1"/>
    </w:pPr>
    <w:rPr>
      <w:b/>
      <w:bCs/>
    </w:rPr>
  </w:style>
  <w:style w:type="paragraph" w:customStyle="1" w:styleId="h439">
    <w:name w:val="h439"/>
    <w:basedOn w:val="Normal"/>
    <w:pPr>
      <w:spacing w:before="100" w:beforeAutospacing="1" w:after="100" w:afterAutospacing="1"/>
    </w:pPr>
    <w:rPr>
      <w:b/>
      <w:bCs/>
    </w:rPr>
  </w:style>
  <w:style w:type="paragraph" w:customStyle="1" w:styleId="h440">
    <w:name w:val="h440"/>
    <w:basedOn w:val="Normal"/>
    <w:pPr>
      <w:spacing w:before="100" w:beforeAutospacing="1" w:after="100" w:afterAutospacing="1"/>
    </w:pPr>
    <w:rPr>
      <w:b/>
      <w:bCs/>
    </w:rPr>
  </w:style>
  <w:style w:type="paragraph" w:customStyle="1" w:styleId="h441">
    <w:name w:val="h441"/>
    <w:basedOn w:val="Normal"/>
    <w:pPr>
      <w:spacing w:before="100" w:beforeAutospacing="1" w:after="100" w:afterAutospacing="1"/>
    </w:pPr>
    <w:rPr>
      <w:b/>
      <w:bCs/>
    </w:rPr>
  </w:style>
  <w:style w:type="paragraph" w:customStyle="1" w:styleId="h442">
    <w:name w:val="h442"/>
    <w:basedOn w:val="Normal"/>
    <w:pPr>
      <w:spacing w:before="100" w:beforeAutospacing="1" w:after="100" w:afterAutospacing="1"/>
    </w:pPr>
    <w:rPr>
      <w:b/>
      <w:bCs/>
    </w:rPr>
  </w:style>
  <w:style w:type="paragraph" w:customStyle="1" w:styleId="h443">
    <w:name w:val="h443"/>
    <w:basedOn w:val="Normal"/>
    <w:pPr>
      <w:spacing w:before="100" w:beforeAutospacing="1" w:after="100" w:afterAutospacing="1"/>
    </w:pPr>
    <w:rPr>
      <w:b/>
      <w:bCs/>
    </w:rPr>
  </w:style>
  <w:style w:type="paragraph" w:customStyle="1" w:styleId="h444">
    <w:name w:val="h444"/>
    <w:basedOn w:val="Normal"/>
    <w:pPr>
      <w:spacing w:before="100" w:beforeAutospacing="1" w:after="100" w:afterAutospacing="1"/>
    </w:pPr>
    <w:rPr>
      <w:b/>
      <w:bCs/>
    </w:rPr>
  </w:style>
  <w:style w:type="paragraph" w:customStyle="1" w:styleId="h445">
    <w:name w:val="h445"/>
    <w:basedOn w:val="Normal"/>
    <w:pPr>
      <w:spacing w:before="100" w:beforeAutospacing="1" w:after="100" w:afterAutospacing="1"/>
    </w:pPr>
    <w:rPr>
      <w:b/>
      <w:bCs/>
    </w:rPr>
  </w:style>
  <w:style w:type="paragraph" w:customStyle="1" w:styleId="h446">
    <w:name w:val="h446"/>
    <w:basedOn w:val="Normal"/>
    <w:pPr>
      <w:spacing w:before="100" w:beforeAutospacing="1" w:after="100" w:afterAutospacing="1"/>
    </w:pPr>
    <w:rPr>
      <w:b/>
      <w:bCs/>
    </w:rPr>
  </w:style>
  <w:style w:type="paragraph" w:customStyle="1" w:styleId="h447">
    <w:name w:val="h447"/>
    <w:basedOn w:val="Normal"/>
    <w:pPr>
      <w:spacing w:before="100" w:beforeAutospacing="1" w:after="100" w:afterAutospacing="1"/>
    </w:pPr>
    <w:rPr>
      <w:b/>
      <w:bCs/>
    </w:rPr>
  </w:style>
  <w:style w:type="paragraph" w:customStyle="1" w:styleId="h448">
    <w:name w:val="h448"/>
    <w:basedOn w:val="Normal"/>
    <w:pPr>
      <w:spacing w:before="100" w:beforeAutospacing="1" w:after="100" w:afterAutospacing="1"/>
    </w:pPr>
    <w:rPr>
      <w:b/>
      <w:bCs/>
    </w:rPr>
  </w:style>
  <w:style w:type="paragraph" w:customStyle="1" w:styleId="h449">
    <w:name w:val="h449"/>
    <w:basedOn w:val="Normal"/>
    <w:pPr>
      <w:spacing w:before="100" w:beforeAutospacing="1" w:after="100" w:afterAutospacing="1"/>
    </w:pPr>
    <w:rPr>
      <w:b/>
      <w:bCs/>
    </w:rPr>
  </w:style>
  <w:style w:type="paragraph" w:customStyle="1" w:styleId="wk-shortlist-head1">
    <w:name w:val="wk-shortlist-head1"/>
    <w:basedOn w:val="Normal"/>
    <w:pPr>
      <w:shd w:val="clear" w:color="auto" w:fill="DBDBDB"/>
      <w:spacing w:before="100" w:beforeAutospacing="1" w:after="100" w:afterAutospacing="1" w:line="480" w:lineRule="atLeast"/>
    </w:pPr>
    <w:rPr>
      <w:caps/>
    </w:rPr>
  </w:style>
  <w:style w:type="paragraph" w:customStyle="1" w:styleId="wk-text-vermas1">
    <w:name w:val="wk-text-vermas1"/>
    <w:basedOn w:val="Normal"/>
    <w:pPr>
      <w:spacing w:before="100" w:beforeAutospacing="1" w:after="100" w:afterAutospacing="1"/>
    </w:pPr>
    <w:rPr>
      <w:vanish/>
    </w:rPr>
  </w:style>
  <w:style w:type="paragraph" w:customStyle="1" w:styleId="wk-icon-vermas1">
    <w:name w:val="wk-icon-vermas1"/>
    <w:basedOn w:val="Normal"/>
    <w:pPr>
      <w:spacing w:before="100" w:beforeAutospacing="1" w:after="100" w:afterAutospacing="1"/>
    </w:pPr>
    <w:rPr>
      <w:vanish/>
    </w:rPr>
  </w:style>
  <w:style w:type="paragraph" w:customStyle="1" w:styleId="wk-shortlist-content1">
    <w:name w:val="wk-shortlist-content1"/>
    <w:basedOn w:val="Normal"/>
    <w:pPr>
      <w:spacing w:before="240" w:after="100" w:afterAutospacing="1"/>
      <w:jc w:val="both"/>
    </w:pPr>
  </w:style>
  <w:style w:type="paragraph" w:customStyle="1" w:styleId="listprecepts1">
    <w:name w:val="listprecepts1"/>
    <w:basedOn w:val="Normal"/>
    <w:pPr>
      <w:shd w:val="clear" w:color="auto" w:fill="F3F3F3"/>
      <w:spacing w:before="120" w:after="100" w:afterAutospacing="1"/>
    </w:pPr>
  </w:style>
  <w:style w:type="paragraph" w:customStyle="1" w:styleId="mode-less1">
    <w:name w:val="mode-less1"/>
    <w:basedOn w:val="Normal"/>
    <w:pPr>
      <w:spacing w:before="100" w:beforeAutospacing="1" w:after="100" w:afterAutospacing="1"/>
    </w:pPr>
    <w:rPr>
      <w:vanish/>
    </w:rPr>
  </w:style>
  <w:style w:type="character" w:customStyle="1" w:styleId="titulodocesencial1">
    <w:name w:val="titulo_docesencial1"/>
    <w:basedOn w:val="Fuentedeprrafopredeter"/>
    <w:rPr>
      <w:b/>
      <w:bCs/>
      <w:vanish w:val="0"/>
      <w:webHidden w:val="0"/>
      <w:sz w:val="23"/>
      <w:szCs w:val="23"/>
      <w:specVanish w:val="0"/>
    </w:rPr>
  </w:style>
  <w:style w:type="character" w:customStyle="1" w:styleId="iniciovigencia1">
    <w:name w:val="iniciovigencia1"/>
    <w:basedOn w:val="Fuentedeprrafopredeter"/>
    <w:rPr>
      <w:vanish w:val="0"/>
      <w:webHidden w:val="0"/>
      <w:specVanish w:val="0"/>
    </w:rPr>
  </w:style>
  <w:style w:type="character" w:customStyle="1" w:styleId="headlistprecepts1">
    <w:name w:val="headlistprecepts1"/>
    <w:basedOn w:val="Fuentedeprrafopredeter"/>
    <w:rPr>
      <w:color w:val="333333"/>
      <w:sz w:val="24"/>
      <w:szCs w:val="24"/>
    </w:rPr>
  </w:style>
  <w:style w:type="paragraph" w:customStyle="1" w:styleId="level11">
    <w:name w:val="level11"/>
    <w:basedOn w:val="Normal"/>
    <w:pPr>
      <w:shd w:val="clear" w:color="auto" w:fill="EAEAEA"/>
      <w:spacing w:before="100" w:beforeAutospacing="1" w:after="100" w:afterAutospacing="1"/>
    </w:pPr>
  </w:style>
  <w:style w:type="paragraph" w:styleId="Encabezado">
    <w:name w:val="header"/>
    <w:basedOn w:val="Normal"/>
    <w:link w:val="EncabezadoCar"/>
    <w:unhideWhenUsed/>
    <w:pPr>
      <w:tabs>
        <w:tab w:val="center" w:pos="4680"/>
        <w:tab w:val="right" w:pos="9360"/>
      </w:tabs>
    </w:pPr>
  </w:style>
  <w:style w:type="character" w:customStyle="1" w:styleId="EncabezadoCar">
    <w:name w:val="Encabezado Car"/>
    <w:basedOn w:val="Fuentedeprrafopredeter"/>
    <w:link w:val="Encabezado"/>
    <w:rPr>
      <w:rFonts w:eastAsiaTheme="minorEastAsia"/>
      <w:sz w:val="24"/>
      <w:szCs w:val="24"/>
    </w:rPr>
  </w:style>
  <w:style w:type="paragraph" w:styleId="Piedepgina">
    <w:name w:val="footer"/>
    <w:basedOn w:val="Normal"/>
    <w:link w:val="PiedepginaCar"/>
    <w:unhideWhenUsed/>
    <w:pPr>
      <w:tabs>
        <w:tab w:val="center" w:pos="4680"/>
        <w:tab w:val="right" w:pos="9360"/>
      </w:tabs>
    </w:pPr>
  </w:style>
  <w:style w:type="character" w:customStyle="1" w:styleId="PiedepginaCar">
    <w:name w:val="Pie de página Car"/>
    <w:basedOn w:val="Fuentedeprrafopredeter"/>
    <w:link w:val="Piedepgina"/>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71862">
      <w:marLeft w:val="0"/>
      <w:marRight w:val="0"/>
      <w:marTop w:val="0"/>
      <w:marBottom w:val="0"/>
      <w:divBdr>
        <w:top w:val="single" w:sz="6" w:space="0" w:color="D6D6D6"/>
        <w:left w:val="single" w:sz="6" w:space="0" w:color="D6D6D6"/>
        <w:bottom w:val="single" w:sz="6" w:space="0" w:color="D6D6D6"/>
        <w:right w:val="single" w:sz="6" w:space="0" w:color="D6D6D6"/>
      </w:divBdr>
    </w:div>
    <w:div w:id="790054073">
      <w:marLeft w:val="0"/>
      <w:marRight w:val="0"/>
      <w:marTop w:val="0"/>
      <w:marBottom w:val="0"/>
      <w:divBdr>
        <w:top w:val="single" w:sz="6" w:space="0" w:color="D6D6D6"/>
        <w:left w:val="single" w:sz="6" w:space="0" w:color="D6D6D6"/>
        <w:bottom w:val="single" w:sz="6" w:space="0" w:color="D6D6D6"/>
        <w:right w:val="single" w:sz="6" w:space="0" w:color="D6D6D6"/>
      </w:divBdr>
      <w:divsChild>
        <w:div w:id="1262176297">
          <w:marLeft w:val="0"/>
          <w:marRight w:val="0"/>
          <w:marTop w:val="600"/>
          <w:marBottom w:val="0"/>
          <w:divBdr>
            <w:top w:val="none" w:sz="0" w:space="0" w:color="auto"/>
            <w:left w:val="none" w:sz="0" w:space="0" w:color="auto"/>
            <w:bottom w:val="none" w:sz="0" w:space="0" w:color="auto"/>
            <w:right w:val="none" w:sz="0" w:space="0" w:color="auto"/>
          </w:divBdr>
        </w:div>
      </w:divsChild>
    </w:div>
    <w:div w:id="1208297606">
      <w:marLeft w:val="0"/>
      <w:marRight w:val="0"/>
      <w:marTop w:val="0"/>
      <w:marBottom w:val="0"/>
      <w:divBdr>
        <w:top w:val="none" w:sz="0" w:space="0" w:color="auto"/>
        <w:left w:val="none" w:sz="0" w:space="0" w:color="auto"/>
        <w:bottom w:val="none" w:sz="0" w:space="0" w:color="auto"/>
        <w:right w:val="none" w:sz="0" w:space="0" w:color="auto"/>
      </w:divBdr>
      <w:divsChild>
        <w:div w:id="43798692">
          <w:marLeft w:val="0"/>
          <w:marRight w:val="0"/>
          <w:marTop w:val="0"/>
          <w:marBottom w:val="0"/>
          <w:divBdr>
            <w:top w:val="none" w:sz="0" w:space="0" w:color="auto"/>
            <w:left w:val="none" w:sz="0" w:space="0" w:color="auto"/>
            <w:bottom w:val="none" w:sz="0" w:space="0" w:color="auto"/>
            <w:right w:val="none" w:sz="0" w:space="0" w:color="auto"/>
          </w:divBdr>
          <w:divsChild>
            <w:div w:id="52894009">
              <w:marLeft w:val="0"/>
              <w:marRight w:val="0"/>
              <w:marTop w:val="120"/>
              <w:marBottom w:val="120"/>
              <w:divBdr>
                <w:top w:val="none" w:sz="0" w:space="0" w:color="auto"/>
                <w:left w:val="none" w:sz="0" w:space="0" w:color="auto"/>
                <w:bottom w:val="none" w:sz="0" w:space="0" w:color="auto"/>
                <w:right w:val="none" w:sz="0" w:space="0" w:color="auto"/>
              </w:divBdr>
            </w:div>
            <w:div w:id="510414975">
              <w:marLeft w:val="0"/>
              <w:marRight w:val="600"/>
              <w:marTop w:val="0"/>
              <w:marBottom w:val="0"/>
              <w:divBdr>
                <w:top w:val="single" w:sz="12" w:space="15" w:color="0077AA"/>
                <w:left w:val="single" w:sz="12" w:space="0" w:color="0077AA"/>
                <w:bottom w:val="single" w:sz="12" w:space="15" w:color="0077AA"/>
                <w:right w:val="single" w:sz="12" w:space="30" w:color="0077AA"/>
              </w:divBdr>
            </w:div>
            <w:div w:id="1537154389">
              <w:marLeft w:val="0"/>
              <w:marRight w:val="0"/>
              <w:marTop w:val="0"/>
              <w:marBottom w:val="0"/>
              <w:divBdr>
                <w:top w:val="none" w:sz="0" w:space="0" w:color="auto"/>
                <w:left w:val="none" w:sz="0" w:space="0" w:color="auto"/>
                <w:bottom w:val="none" w:sz="0" w:space="0" w:color="auto"/>
                <w:right w:val="none" w:sz="0" w:space="0" w:color="auto"/>
              </w:divBdr>
              <w:divsChild>
                <w:div w:id="697000582">
                  <w:marLeft w:val="0"/>
                  <w:marRight w:val="0"/>
                  <w:marTop w:val="0"/>
                  <w:marBottom w:val="0"/>
                  <w:divBdr>
                    <w:top w:val="none" w:sz="0" w:space="0" w:color="auto"/>
                    <w:left w:val="none" w:sz="0" w:space="0" w:color="auto"/>
                    <w:bottom w:val="none" w:sz="0" w:space="0" w:color="auto"/>
                    <w:right w:val="none" w:sz="0" w:space="0" w:color="auto"/>
                  </w:divBdr>
                </w:div>
              </w:divsChild>
            </w:div>
            <w:div w:id="1552959139">
              <w:marLeft w:val="0"/>
              <w:marRight w:val="0"/>
              <w:marTop w:val="0"/>
              <w:marBottom w:val="0"/>
              <w:divBdr>
                <w:top w:val="none" w:sz="0" w:space="0" w:color="auto"/>
                <w:left w:val="none" w:sz="0" w:space="0" w:color="auto"/>
                <w:bottom w:val="none" w:sz="0" w:space="0" w:color="auto"/>
                <w:right w:val="none" w:sz="0" w:space="0" w:color="auto"/>
              </w:divBdr>
            </w:div>
            <w:div w:id="187388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webSettings>
</file>

<file path=word/_rels/document.xml.rels><?xml version="1.0" encoding="UTF-8" standalone="yes"?>
<Relationships xmlns="http://schemas.openxmlformats.org/package/2006/relationships"><Relationship Id="rId8" Type="http://schemas.openxmlformats.org/officeDocument/2006/relationships/hyperlink" Target="https://cissfiscal.laleynext.es/Content/Documento.aspx?idd=LE0000018332&amp;version=Vigente&amp;anchor=I917" TargetMode="External"/><Relationship Id="rId13" Type="http://schemas.openxmlformats.org/officeDocument/2006/relationships/hyperlink" Target="https://cissfiscal.laleynext.es/Content/Documento.aspx?idd=LE0000018332&amp;version=Vigente&amp;anchor=I917"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issfiscal.laleynext.es/Content/Documento.aspx?idd=LE0000018332&amp;version=Vigente&amp;anchor=I3556" TargetMode="External"/><Relationship Id="rId12" Type="http://schemas.openxmlformats.org/officeDocument/2006/relationships/hyperlink" Target="https://cissfiscal.laleynext.es/Content/Documento.aspx?idd=LE0000493584&amp;version=Vigent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cissfiscal.laleynext.es/Content/Documento.aspx?idd=LE0000018332&amp;version=Vigente&amp;anchor=I851" TargetMode="External"/><Relationship Id="rId11" Type="http://schemas.openxmlformats.org/officeDocument/2006/relationships/hyperlink" Target="https://cissfiscal.laleynext.es/Content/Documento.aspx?idd=LE0000018332&amp;version=Vigente&amp;anchor=I2436"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cissfiscal.laleynext.es/Content/Documento.aspx?idd=LE0000018332&amp;version=Vigente&amp;anchor=I2422" TargetMode="External"/><Relationship Id="rId4" Type="http://schemas.openxmlformats.org/officeDocument/2006/relationships/footnotes" Target="footnotes.xml"/><Relationship Id="rId9" Type="http://schemas.openxmlformats.org/officeDocument/2006/relationships/hyperlink" Target="https://cissfiscal.laleynext.es/Content/Documento.aspx?idd=JU0001953192&amp;version=Vigente" TargetMode="External"/><Relationship Id="rId14" Type="http://schemas.openxmlformats.org/officeDocument/2006/relationships/hyperlink" Target="https://cissfiscal.laleynext.es/Content/Documento.aspx?idd=LE0000195607&amp;version=Vigente&amp;anchor=I66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2541</Words>
  <Characters>14418</Characters>
  <Application>Microsoft Office Word</Application>
  <DocSecurity>0</DocSecurity>
  <Lines>120</Lines>
  <Paragraphs>33</Paragraphs>
  <ScaleCrop>false</ScaleCrop>
  <Company>Wolters Kluwer S.A</Company>
  <LinksUpToDate>false</LinksUpToDate>
  <CharactersWithSpaces>16926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Wolters Kluwer S.A</dc:creator>
  <cp:keywords/>
  <dc:description/>
  <cp:lastModifiedBy>Manolo</cp:lastModifiedBy>
  <cp:revision>3</cp:revision>
  <cp:lastPrinted>2023-09-20T08:15:00Z</cp:lastPrinted>
  <dcterms:created xsi:type="dcterms:W3CDTF">2023-09-20T08:07:00Z</dcterms:created>
  <dcterms:modified xsi:type="dcterms:W3CDTF">2023-09-20T08:16:00Z</dcterms:modified>
</cp:coreProperties>
</file>